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PE16.013151 vom 8. Dezember 2016</w:t>
      </w:r>
    </w:p>
    <w:p>
      <w:r>
        <w:t>VD Tribunal cantonal, 2016-12-08, FR</w:t>
      </w:r>
    </w:p>
    <w:p>
      <w:r>
        <w:rPr>
          <w:b/>
        </w:rPr>
        <w:t xml:space="preserve">Quelle: </w:t>
      </w:r>
      <w:r>
        <w:t>https://mcp.opencaselaw.ch/entscheid/vd_gerichte_PE16.013151</w:t>
      </w:r>
    </w:p>
    <w:p>
      <w:r>
        <w:t>FR: VD_GERICHTE PE16.013151 du 8 décembre 2016</w:t>
      </w:r>
    </w:p>
    <w:p>
      <w:r>
        <w:t>IT: VD_GERICHTE PE16.013151 del 8 dicembre 2016</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 RS 312.0]), déclare l’opposition irrecevable, par exemple pour cause de tardiveté, est susceptible de recours selon les art. 393 ss CPP (Gilliéron/Killias, in Kuhn/Jeanneret [éd.], Commentaire romand, Code de procédure pénale suisse, Bâle 2011, n. 5 ad art. 356 CPP ; Riklin, in : Niggli/Heer/Wiprächtiger [éd.], Basler Kommentar, Schweizerische Strafprozessordnung, Jugendstrafprozessordnung, 2e éd., Bâle 2014, n. 2 ad art. 356 CPP ; CREP 24 mai 2016/341 consid. 1). En l’espèce, interjeté en temps utile (art. 396 al. 1 CPP) devant l’autorité compétente par le prévenu qui a qualité pour recourir (art. 382 al. 1 CPP) et dans les formes prescrites (art. 385 al. 1 CPP), le recours de N.________ est recevable.</w:t>
      </w:r>
    </w:p>
    <w:p>
      <w:r>
        <w:rPr>
          <w:b/>
        </w:rPr>
        <w:t>E. 2</w:t>
      </w:r>
    </w:p>
    <w:p>
      <w:r>
        <w:t>Le recourant soutient en premier lieu qu'en lui adressant une copie de l'ordonnance pénale par courrier du 17 novembre 2016 et en lui fixant un délai de dix jours pour indiquer s'il entendait former opposition à son encontre, le Procureur lui a implicitement restitué le délai pour former opposition au sens de l'art. 94 CPP. Il considère en second lieu que les conditions d'application de l'art. 88 al. 4 CPP n'étaient pas remplies, dans la mesure où le Procureur n'a jamais accompli de recherches pour déterminer son lieu de séjour.</w:t>
      </w:r>
    </w:p>
    <w:p>
      <w:r>
        <w:rPr>
          <w:b/>
        </w:rPr>
        <w:t>E. 2.1</w:t>
      </w:r>
    </w:p>
    <w:p>
      <w:r>
        <w:t>- 5 -</w:t>
      </w:r>
    </w:p>
    <w:p>
      <w:r>
        <w:rPr>
          <w:b/>
        </w:rPr>
        <w:t>E. 2.1.1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 CREP 24 septembre 2014/695). Elle est tardive si elle a été adressée au ministère public après le délai de dix jours prévu par l'art. 354 al. 1 CPP.</w:t>
      </w:r>
    </w:p>
    <w:p>
      <w:r>
        <w:rPr>
          <w:b/>
        </w:rPr>
        <w:t>E. 2.1.2</w:t>
      </w:r>
    </w:p>
    <w:p>
      <w:r>
        <w:t>Selon l’art. 85 al. 2 CPP, la notification se fait en principe par lettre signature ou par tout autre mode de communication impliquant un accusé de réception, notamment par l’entremise de la police. Toutefois, l’art. 88 al. 1 CPP prévoit que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Ces conditions sont alternatives. La notification est alors réputée avoir eu lieu le jour de la publication (art. 88 al. 2 CPP).</w:t>
      </w:r>
    </w:p>
    <w:p>
      <w:r>
        <w:t>- 6 - En dérogation à l’art. 88 al. 1 et 2 CPP, l’art. 88 al. 4 CPP prévoit que les ordonnances de classement et les ordonnances pénales sont réputées notifiées même en l’absence d’une publication. Dans un tel cas, le délai d’opposition commence à courir dès que le ministère public a signé l’ordonnance (Moreillon/Parein-Reymond, Petit commentaire du Code de procédure pénale, 2e éd., Bâle 2016, n. 17 ad art. 88 CPP). Cette fiction n’est toutefois valable que si l’une des conditions exigées par l’art. 88 al. 1 let. a à c CPP est remplie (TF 6B_738/2011 du 20 mars 2012 consid. 3.1 ; CREP 13 juin 2014/407). Elle a pour effet que les délais de recours et d’opposition commencent à courir même en l’absence de notification, respectivement de publication, et que l’ordonnance entre en force au terme du délai de recours (cf. art. 322 CPP), respectivement d’opposition (cf. art. 354 CPP) (Brüschweiler, in : Donatsch/Hansjakob/Lieber [éd.], Kommentar zur Schweizerischen Strafprozessordnung, 2e éd., 2014, n. 8 ad art. 88 CPP ; CREP 24 juillet 2014/512). Avant de pouvoir envisager l'application de l'art. 88 al. 4 CPP, le ministère public doit toutefois avoir entrepris des démarches approfondies pour localiser le prévenu (TF 6B_1117/2015 du 6 septembre 2016 consid. 1.1 ; TF 6B_738/2011 du 20 mars 2012 consid. 3.3 ; CREP 11 octobre 2016/672 ; Denys, Ordonnance pénale : Questions choisies et jurisprudence récente, SJ 2016 II pp. 130 s.).</w:t>
      </w:r>
    </w:p>
    <w:p>
      <w:r>
        <w:rPr>
          <w:b/>
        </w:rPr>
        <w:t>E. 2.2</w:t>
      </w:r>
    </w:p>
    <w:p>
      <w:r>
        <w:t>En l'espèce, il ne ressort pas du procès-verbal des opérations que le Procureur se serait livré à une quelconque recherche visant à déterminer le lieu de séjour du prévenu. Il n'a d'ailleurs pas prétendu, dans le courrier adressé au Tribunal de police le 24 novembre 2016 et dans ses déterminations du 6 décembre 2016, avoir accompli de telles recherches. Or, à l'époque où l'ordonnance pénale a été rendue, soit le 5 août 2016, le recourant se trouvait détenu à la prison de Witzwil, ce depuis le mois de juillet 2016 et après avoir passé quelques jours dans la zone carcérale du Centre de la Blécherette. Le Procureur, qui savait que le prévenu avait été laissé à disposition des autorités bernoises au terme de</w:t>
      </w:r>
    </w:p>
    <w:p>
      <w:r>
        <w:t>- 7 - son audition du 2 juillet 2016 (cf. P. 6, p. 1), aurait ainsi pu localiser l'intéressé en s'adressant à l'Office d'exécution des peines. Une telle démarche pouvait en l'espèce de toute évidence être raisonnablement exigée de sa part. Il découle de ce qui précède que la fiction de notification fondée sur l'art. 88 al. 4 CPP n'a pu intervenir. C'est ainsi à tort que le Tribunal de police a retenu que l'ordonnance pénale avait été valablement notifiée au recourant le 5 août 2016. Aucun élément ne permettant de considérer que le recourant aurait eu connaissance de l'ordonnance pénale plus de dix jours avant son opposition du 5 novembre 2016, il convient de considérer que celle-ci a été formée en temps utile. Pour cette raison, le recours, bien fondé, doit être admis et le prononcé du 25 novembre 2016 annulé. La Cour de céans peut en conséquence laisser ouverte la question d'une éventuelle restitution de délai telle qu'invoquée par le recourant.</w:t>
      </w:r>
    </w:p>
    <w:p>
      <w:r>
        <w:rPr>
          <w:b/>
        </w:rPr>
        <w:t>E. 3</w:t>
      </w:r>
    </w:p>
    <w:p>
      <w:r>
        <w:t>En définitive, le recours doit être admis, le prononcé du 25 novembre 2016 annulé et le dossier renvoyé au Ministère public de l'arrondissement de Lausanne pour qu'il procède conformément à l'art. 355 CPP. La peine à laquelle le recourant s’expose dans le cadre de la procédure en cours étant de 160 jours de peine privative de liberté ferme, il se justifie de lui désigner un défenseur d’office pour la procédure de recours et de nommer Me Yann Oppliger. L'indemnité due à ce titre sera arrêtée à 540 fr., plus la TVA, par 43 fr. 20, soit à 583 fr. 20 au total. Vu l’issue du recours, les frais de la procédure de recours, constitués de l’émolument d’arrêt (art. 422 al. 1 CPP), par 880 fr. (art. 20 al. 1 TFIP [Tarif des frais de procédure et indemnités en matière pénale du 28 septembre 2010 ; RSV 312.03.1]), et des frais imputables à la défense d’office (art. 422 al. 1 et 2 let. a CPP), par 583 fr. 20, seront laissés à la charge de l’Etat (art. 428 al. 4 CPP).</w:t>
      </w:r>
    </w:p>
    <w:p>
      <w:r>
        <w:t>- 8 - Par ces motifs, la Chambre des recours pénale prononce : I. Le recours est admis. II. Le prononcé du 25 novembre 2016 est annulé. III. Le dossier de la cause est renvoyé au Ministère public de l'arrondissement de Lausanne pour qu'il procède conformément à l'art. 355 CPP. IV. Me Yann Oppliger est désigné comme défenseur d’office de N.________ pour la présente procédure de recours et son indemnité est fixée à 583 fr. 20 (cinq cent huitante-trois francs et vingt centimes). V. Les frais d’arrêt, par 880 fr. (huit cent huitante francs), ainsi que l’indemnité due au défenseur d’office du recourant, par 583 fr. 20 (cinq cent huitante-trois francs et vingt centimes), sont laissés à la charge de l’Etat. VI. L’arrêt est exécutoire. Le président : Le greffier : Du Le présent arrêt, dont la rédaction a été approuvée à huis clos, est notifié, par l'envoi d'une copie complète, à : - Me Yann Oppliger, avocat (pour N.________), - Ministère public central,</w:t>
      </w:r>
    </w:p>
    <w:p>
      <w:r>
        <w:t>- 9 - et communiqué à : - M. le Président du Tribunal de police de l'arrondissement de Lausanne, - M. le Procureur de l'arrondissement de Lausanne, - Surveillant-chef des établissements de Witzwil,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