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PE16.013035 vom 19. Dezember 2018</w:t>
      </w:r>
    </w:p>
    <w:p>
      <w:r>
        <w:t>VD Tribunal cantonal, 2018-12-19, FR</w:t>
      </w:r>
    </w:p>
    <w:p>
      <w:r>
        <w:rPr>
          <w:b/>
        </w:rPr>
        <w:t xml:space="preserve">Quelle: </w:t>
      </w:r>
      <w:r>
        <w:t>https://mcp.opencaselaw.ch/entscheid/vd_gerichte_PE16.013035</w:t>
      </w:r>
    </w:p>
    <w:p>
      <w:r>
        <w:t>FR: VD_GERICHTE PE16.013035 du 19 décembre 2018</w:t>
      </w:r>
    </w:p>
    <w:p>
      <w:r>
        <w:t>IT: VD_GERICHTE PE16.013035 del 19 dicembre 2018</w:t>
      </w:r>
    </w:p>
    <w:p>
      <w:pPr>
        <w:pStyle w:val="Heading2"/>
      </w:pPr>
      <w:r>
        <w:t>Erwägungen</w:t>
      </w:r>
    </w:p>
    <w:p>
      <w:r>
        <w:rPr>
          <w:b/>
        </w:rPr>
        <w:t>E. 4.1</w:t>
      </w:r>
    </w:p>
    <w:p>
      <w:r>
        <w:t>Le Tribunal fédéral prescrit ensuite de fixer à nouveau les peines pécuniaires réprimant les infractions retenues. A cet égard, l’arrêt de renvoi comporte les considérants suivants : « 4.2. En ce qui concerne F.________, la cour cantonale a considéré que l'achat par la société de son propre matériel et outillage constituait l'infraction la plus grave. Elle a fixé pour cette infraction une une peine pécuniaire de 80 jours-amende. Pour le surplus, elle a arrêté une peine de 30 jours-amende pour l'achat par la société de son propre véhicule, une peine de 30 jours-amende pour le versement de salaires indus à F.________ et une peine de 40 jours-amende pour l'infraction de l'art. 251 CP. Additionnant ces différentes peines (80 + 30 + 30 + 40), elle a prononcé une peine pécuniaire de 180 jours-amende pour l'ensemble des infractions reprochées. Cette façon de procéder n'est pas conforme aux principes qui prévalent en matière de fixation des peines et de concours d'infractions. Conformément au principe de l'aggravation, le juge ne doit pas additionner les différentes peines fixées pour chaque infraction, mais doit aggraver la peine de base pour tenir compte de chaque infraction supplémentaire.</w:t>
      </w:r>
    </w:p>
    <w:p>
      <w:r>
        <w:rPr>
          <w:b/>
        </w:rPr>
        <w:t>E. 4.2</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- 11 - En vertu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 prononcé d'une peine d'ensemble en application du principe de l'aggravation prévu à l'art. 49 CP suppose que le juge choisisse, dans le cas concret, le même genre de peine pour sanctionner chaque infraction commise. Si les sanctions envisagées concrètement ne sont pas du même genre, elles doivent être prononcées cumulativement. La peine privative de liberté et la peine pécuniaire ne sont pas des sanctions du même genre (ATF 144 IV 317 consid. 1.1.1). Lorsque les peines envisagées concrètement sont du même genre, l'art. 49 al. 1 CP impose au juge, dans un premier temps, de fixer la peine pour l'infraction abstraitement la plus grave, en tenant compte de tous les éléments pertinents, parmi lesquels les circonstances aggravantes ou atténuantes. L'infraction la plus grave est l'infraction pour laquelle la loi fixe la peine la plus grave, et non l'infraction qui, dans l'espèce considérée, apparaît la plus grave du point de vue de la culpabilité (ATF 93 IV 7). Dans un second temps, il augmentera cette peine pour sanctionner chacune des autres infractions, en tenant compte là aussi de toutes les circonstances y relatives (ATF 144 IV 313 consid. 1.1.2). Aux termes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disposition tend pour l'essentiel à garantir le principe de l'aggravation également en cas de concours réel rétrospectif (ATF 142 IV 329 consid. 1.4.1; ATF 142 IV 265 consid. 2.3.1). L'auteur qui encourt plusieurs peines du même genre, par exemple plusieurs peines privatives de liberté, peut ainsi bénéficier du</w:t>
      </w:r>
    </w:p>
    <w:p>
      <w:r>
        <w:t>- 12 - principe de l'aggravation, indépendamment du fait que la procédure s'est ou non déroulée en deux temps. Concrètement, le juge se demande d'abord quelle peine d'ensemble aurait été prononcée si toutes les infractions avaient été jugées simultanément. La peine complémentaire est constituée de la différence entre cette peine d'ensemble et la peine de base, à savoir celle prononcée précédemment (ATF 142 IV 265 consid. 2.3.3; ATF 141 IV 61 consid. 6.1.2).</w:t>
      </w:r>
    </w:p>
    <w:p>
      <w:r>
        <w:rPr>
          <w:b/>
        </w:rPr>
        <w:t>E. 4.3</w:t>
      </w:r>
    </w:p>
    <w:p>
      <w:r>
        <w:t>En l’espèce, la culpabilité des deux prévenus est différente.</w:t>
      </w:r>
    </w:p>
    <w:p>
      <w:r>
        <w:rPr>
          <w:b/>
        </w:rPr>
        <w:t>E. 4.3.1</w:t>
      </w:r>
    </w:p>
    <w:p>
      <w:r>
        <w:t>En raison des faits exposés sous chiffre 2 de la partie "En fait" ci-dessus, F.________, qui a été libéré de l’infraction de faux dans les titres (cf. consid. 3.3.3 supra), s'est rendu coupable de diminution effective de l’actif au préjudice des créanciers au sens de l’art. 164 ch. 1 CP. La réalisation de cette infraction résulte de l’achat par la société K.________ de son propre matériel et outillage par 19'885 fr. ainsi que de son propre véhicule par 6'000 fr. et du versement de salaires indus à D.________ à raison de 6'076 fr. 80. A charge, il faut retenir que l’intéressé a mis à profit, au service d’un projet foncièrement malhonnête qui s’est décliné en plusieurs opérations distinctes et coordonnées, ses connaissances techniques de comptable et d'ancien collaborateur d'un Office de poursuites, ce pour porter préjudice à une société exerçant des activités de fiduciaire qu’il a lui-même longtemps exercées. Le montant diminué au préjudice des créanciers n’est pas dérisoire. En outre, on ne relève chez lui aucune prise de conscience. A décharge, on peut retenir que le prévenu est âgé, sans toutefois que cela ne l’empêche de se rendre compte de la gravité de son comportement. L’achat par la société de son propre matériel et outillage constitue l’infraction la plus grave. Une peine pécuniaire de 80 jours- amende est adéquate pour réprimer cette opération. Par l'effet de l'aggravation (art. 49 al. 1 CP), la peine doit être augmentée d'une durée de l'ordre de 30 jours en raison de l'achat par la société de son propre véhicule et d’une durée de 30 jours également en raison du versement de</w:t>
      </w:r>
    </w:p>
    <w:p>
      <w:r>
        <w:t>- 13 - salaires indus. Il s'ensuit que c'est une peine pécuniaire de 140 jours- amende qui doit être prononcée pour ces faits.</w:t>
      </w:r>
    </w:p>
    <w:p>
      <w:r>
        <w:rPr>
          <w:b/>
        </w:rPr>
        <w:t>E. 4.3.2</w:t>
      </w:r>
    </w:p>
    <w:p>
      <w:r>
        <w:t>D.________ doit quant à lui être sanctionné pour l’infraction de l’art. 164 ch. 2 CP, confirmée par le Tribunal fédéral. Sa culpabilité, qui n’est pas négligeable, est toutefois moins importante que celle de F.________, dès lors que l’intéressé a suivi un co-prévenu qui mettait à profit, comme déjà exposé, ses connaissances spécialisées pour commettre les infractions en cause. A charge, on ne relève également aucune prise en conscience. En outre, le montant diminué au préjudice des créanciers n’est pas dérisoire. A décharge, on tiendra compte de l’âge du prévenu, aujourd’hui à la retraite, et de sa situation de santé, qui est précaire. L’achat par la société K.________ de son propre matériel et outillage constitue là aussi l'infraction la plus grave. Une peine pécuniaire de 30 jours-amende est adéquate pour réprimer cette opération. Cette peine doit être augmentée d’une durée de l’ordre de 15 jours en raison de l’achat par la société de son propre véhicule et de 15 jours supplémentaires en raison du versement de salaires indus au prévenu, dès lors que ces opérations suivent dans l'échelle de gravité. C'est donc une peine pécuniaire de 60 jours-amende qui doit être prononcée pour ces faits, dite peine étant entièrement complémentaire à celle de 70 jours- amende à 30 fr., qui a été infligée à l’intéressé le 11 novembre 2015 par le Ministère public de l’arrondissement de Lausanne. Si le Ministère public avait en effet eu à juger, le 11 novembre 2015, également de l’infraction à l’art 164 CP pour les faits précités, il aurait infligé une peine pécuniaire de 130 jour-amende.</w:t>
      </w:r>
    </w:p>
    <w:p>
      <w:r>
        <w:rPr>
          <w:b/>
        </w:rPr>
        <w:t>E. 5</w:t>
      </w:r>
    </w:p>
    <w:p>
      <w:r>
        <w:t>heures indiquées pour la rédaction des déterminations du 20 mai 2020 sont également excessives ; il sera retenu 2 heures pour ce poste, dès lors que les intimés ne devaient se déterminer, ensuite de l’arrêt de renvoi, que sur la question de la fixation des peines pécuniaires et que c’est en vain qu’ils ont remis en cause leur condamnation pour diminution effective de l’actif au préjudice des créanciers (cf. consid. 3.2.3 supra). Au tarif horaire de 300 fr. (art. 26a al. 3 TFIP), les honoraires s’élèvent à 3'990 fr. (13,3 heures x 300 fr.), montant auquel il convient d’ajouter des débours forfaitaires à concurrence de 2% des honoraires (art. 19 al. 2 TDC [Tarif des dépens en matière civile du 23 novembre 2010 ; BLV 270.11.6], applicable par renvoi de l'art. 26a al. 6 TFIP), par 79 fr. 80, et la TVA au taux de 7,7 %, par 313 fr. 35, pour un total de 4'383 fr. 15 au total, à la charge de l’Etat.</w:t>
      </w:r>
    </w:p>
    <w:p>
      <w:r>
        <w:t>- 16 - Au vu du sort de l’appel, cette indemnité sera réduite d’un tiers, ce qui correspond à une indemnité de 2'922 fr. 10. Les frais d'appel antérieurs à l'arrêt de renvoi mis à la charge des intimés, par 4'000 fr. comme déjà relevé, seront compensés à concurrence de l’indemnité ci-dessus (art. 442 al. 4 CPP), le solde dû par les intimés s’élevant ainsi à 1'077 fr. 90, répartis par deux tiers à la charge de F.________ et par un tiers à la charge de D.________.</w:t>
      </w:r>
    </w:p>
    <w:p>
      <w:r>
        <w:rPr>
          <w:b/>
        </w:rPr>
        <w:t>E. 5.1</w:t>
      </w:r>
    </w:p>
    <w:p>
      <w:r>
        <w:t>En définitive, l’appel de S.________ doit être partiellement admis et le jugement entrepris réformé dans le sens des considérants qui précèdent.</w:t>
      </w:r>
    </w:p>
    <w:p>
      <w:r>
        <w:t>- 14 -</w:t>
      </w:r>
    </w:p>
    <w:p>
      <w:r>
        <w:rPr>
          <w:b/>
        </w:rPr>
        <w:t>E. 5.2</w:t>
      </w:r>
    </w:p>
    <w:p>
      <w:r>
        <w:t>Vu l’issue de la cause, la mise à la charge des intimés des frais d’appel antérieurs à l’arrêt du Tribunal fédéral du 20 novembre 2019, d’un total de 4'000 fr. – par deux tiers à la charge de F.________ et par un tiers à la charge de D.________ –, ainsi que la mise à leur charge de l’indemnité au sens de l’art. 433 CPP, par 4'523 fr., allouée à l’appelante pour les dépenses occasionnées par la procédure d’appel antérieure à l’arrêt de renvoi doivent être confirmées. Cette solution s’impose dans la mesure où l’inscription dans la comptabilité des opérations d’achats fictives et des paiements de services et de travaux inexistants s’avèrent constitutives d’une faute civile, car transgressant les principes des art. 957 ss CO (Code des obligations du 30 mars 1911 ; RS 220), plus particulièrement de l’art. 958c CO qui définit les règles relatives à l’établissement des comptes. Compte tenu du sort de l’appel, il ne se justifie pas d’allouer à S.________ une indemnité supplémentaire pour ses dépenses occasionnées par la procédure postérieure à l’arrêt de renvoi du Tribunal fédéral (art. 433 CPP).</w:t>
      </w:r>
    </w:p>
    <w:p>
      <w:r>
        <w:rPr>
          <w:b/>
        </w:rPr>
        <w:t>E. 5.3</w:t>
      </w:r>
    </w:p>
    <w:p>
      <w:r>
        <w:t>F.________ et D.________ ont réitéré leur requête tendant à la désignation de Me Jonathan Rey en qualité de défenseur d’office (P. 78). Dans son jugement du 9 avril 2019, la Cour de céans a expliqué les raisons pour lesquelles la désignation d’un avocat d’office n’était pas objectivement nécessaire dans le cas d’espèce (consid. 9.3) et il suffit de s’y référer, les intimés n’exposant aucun élément nouveau permettant de revenir sur cette appréciation. Pour le reste, on notera que l’affaire est de peu de gravité et sans difficultés s’agissant de la procédure postérieure à l’arrêt de renvoi (art. 132 al. 2 CPP). La requête d’assistance judiciaire doit donc être rejetée.</w:t>
      </w:r>
    </w:p>
    <w:p>
      <w:r>
        <w:rPr>
          <w:b/>
        </w:rPr>
        <w:t>E. 5.4</w:t>
      </w:r>
    </w:p>
    <w:p>
      <w:r>
        <w:t>Une indemnité réduite doit être allouée aux intimés, solidairement entre eux, conformément à l’art. 429 al. 1 let. a CPP, pour</w:t>
      </w:r>
    </w:p>
    <w:p>
      <w:r>
        <w:t>- 15 - les dépenses occasionnées par l'exercice raisonnable de leurs droits pour la procédure d'appel. La note d’honoraires de Me Jonathan Rey indique un total de 6'240 fr., hors débours et TVA, correspondant à 20.8 heures au tarif horaire de 300 fr., pour la période du 21 décembre 2018 au 20 mai 2020. Or, il n’y a pas lieu de prendre en compte les opérations antérieures au 28 janvier 2019, date de réception de la déclaration d’appel, d’un total de 0.9 heures, ni celles des 11, 14 et 26 mars 2019 intitulées « courrier au Dr [...] », « courriel au Dr [...] » et « courriel à client », d’un total de 0.6 heures. Ensuite, la durée annoncée (6.5 heures) pour la préparation de l’audience d’appel du 9 avril 2019 est excessive, vu la connaissance du dossier acquise par le défenseur en première instance. Il convient dès lors de ramener à 4 heures la durée nécessaire à la préparation de l'audience. En outre, compte tenu des contacts réguliers que le défenseur a eus avec ses clients par courriers, courriels et téléphone et du fait qu’il les a assistés à l’audience (opérations pour lesquelles il sera rémunéré), il ne se justifie pas de prendre en considération, en sus, l’opération « conférence avec clients » (0.5 heures) datée également du 9 avril 2019 – dont on ignore d’ailleurs si elle a eu lieu avant ou après l’audience. Enfin, les</w:t>
      </w:r>
    </w:p>
    <w:p>
      <w:r>
        <w:rPr>
          <w:b/>
        </w:rPr>
        <w:t>E. 5.5</w:t>
      </w:r>
    </w:p>
    <w:p>
      <w:r>
        <w:t>Enfin, les frais d'appel postérieurs à l’arrêt de renvoi seront laissés à la charge de l'Etat (art. 423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