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PE16.012937 vom 31. Juli 2018</w:t>
      </w:r>
    </w:p>
    <w:p>
      <w:r>
        <w:t>VD Tribunal cantonal, 2018-07-31, FR</w:t>
      </w:r>
    </w:p>
    <w:p>
      <w:r>
        <w:rPr>
          <w:b/>
        </w:rPr>
        <w:t xml:space="preserve">Quelle: </w:t>
      </w:r>
      <w:r>
        <w:t>https://mcp.opencaselaw.ch/entscheid/vd_gerichte_PE16.012937</w:t>
      </w:r>
    </w:p>
    <w:p>
      <w:r>
        <w:t>FR: VD_GERICHTE PE16.012937 du 31 juillet 2018</w:t>
      </w:r>
    </w:p>
    <w:p>
      <w:r>
        <w:t>IT: VD_GERICHTE PE16.012937 del 31 luglio 2018</w:t>
      </w:r>
    </w:p>
    <w:p>
      <w:pPr>
        <w:pStyle w:val="Heading2"/>
      </w:pPr>
      <w:r>
        <w:t>Erwägungen</w:t>
      </w:r>
    </w:p>
    <w:p>
      <w:r>
        <w:rPr>
          <w:b/>
        </w:rPr>
        <w:t>E. 1</w:t>
      </w:r>
    </w:p>
    <w:p>
      <w:r>
        <w:t>Interjeté dans le délai légal (art. 396 al. 1 CPP [Code de procédure pénale suisse du 5 octobre 2007 ; RS 312.0]) contre une ordonnance du Tribunal des mesures de contrainte dans un cas prévu par le CPP (art. 222 et 393 al. 1 let. c CPP),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t>- 6 -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3.1</w:t>
      </w:r>
    </w:p>
    <w:p>
      <w:r>
        <w:t>En l’espèce, le recourant ne conteste pas, à juste titre, l’existence d'indices de culpabilité suffisants, ni l’existence d’un risque de fuite. Il invoque en revanche l’excès et l’abus du pouvoir d’appréciation et la violation du principe de la proportionnalité. Il reproche au premier juge de n’avoir pas tenu compte de l’élément à décharge « tel que le rapport d’expertise de crédibilité de F.________ réalisé par le Dr [...] », ce qui constituerait une violation du pouvoir d’appréciation du Tribunal des mesures de contrainte. Au surplus, dès sa sortie de détention, il aurait scrupuleusement respecté les mesures de substitution en consultant le Dr [...], ainsi que d’autres médecins, afin de suivre les thérapies nécessaires, et aurait entrepris toutes les démarches pour rétablir le lien avec sa fille ; il aurait manifesté sa volonté d’aller jusqu’au terme de la procédure ; cette volonté du respect des règles imposées ne pourrait pas être interprétée comme un risque de fuite plausible. Enfin, un appel téléphonique avec ses parents ne saurait remplacer une visite physique après plus de 300 jours de détention.</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TF 1B_260/2017 du 19 juillet 2017 consid. 3.1). La gravité de l'infraction ne peut pas, à elle seule, justifier la prolongation de la détention, même si elle permet souvent de présumer un danger de fuite en raison de l'importance de la peine dont le</w:t>
      </w:r>
    </w:p>
    <w:p>
      <w:r>
        <w:t>- 7 - prévenu est menacé (ATF 125 I 60 consid. 3a p. 62; ATF 117 Ia 69 consid. 4a p. 70; TF 1B_260/2017 du 19 juillet 2017 consid. 3.1). Lorsque le danger de fuite est invoqué non pas comme motif de détention, mais comme condition au prononcé d'une mesure alternative moins contraignante, on peut être moins exigeant quant à la vraisemblance d'un tel danger (ATF 133 I 27 consid 3.3 p. 31; TF 1B_260/2017 du 19 juillet 2017 consid. 3.1; TF 1B_388/2015 du 3 décembre 2015 consid. 2.4.1; TF 1B_393/2015 du 9 décembre 2015 consid. 2.2). 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et l'obligation de se présenter régulièrement à un service administratif (let. d).</w:t>
      </w:r>
    </w:p>
    <w:p>
      <w:r>
        <w:rPr>
          <w:b/>
        </w:rPr>
        <w:t>E. 3.3</w:t>
      </w:r>
    </w:p>
    <w:p>
      <w:r>
        <w:t>En l’espèce, les critiques du recourant tombent à faux. En effet, avec le Tribunal des mesures de contrainte, il faut constater que le recourant n’étaye pas ses allégations, notamment sur le fait que ses parents soient âgés, malades et domiciliés au Portugal. Il n’explique pas non plus pour quels motifs ceux-ci ne pourraient pas se rendre en Suisse. En outre, l’ordonnance attaquée fait état du rapport du Dr [...], pour en déduire qu’il existe encore des soupçons suffisants de culpabilité et qu’il appartiendra au juge du fond d’en tirer toutes les conséquences. On peut préciser à cet égard que le recourant n’est pas seulement prévenu d’actes contre sa fille, mais également contre son épouse, de sorte que même s’il n’était plus prévenu de lésions corporelles et de voies de fait qualifiées sur sa fille, il resterait les infractions contre son épouse et la violation du</w:t>
      </w:r>
    </w:p>
    <w:p>
      <w:r>
        <w:t>- 8 - devoir d’éducation contre sa fille; en outre le rapport du Dr [...] ne met pas en cause la crédibilité de l’enfant au sujet des violences que sa mère aurait subies de la part de son père (P. 198/4, cf. par ex. pp. 36 et 37) et retient que les scènes de violence entre ses parents, auxquelles elle a assisté, étaient une situation « hautement traumatisante ». Enfin, le fait que le recourant ait été compliant depuis l’instauration des mesures de substitution ne saurait impliquer la diminution, voire l’annihilation du risque de fuite, qui demeure concret. En effet, le recourant, ressortissant portugais, est au bénéfice d’un permis C. Il n’a plus d’activité lucrative depuis 2015. Sa famille vit au Portugal et sa sœur lui a demandé de venir. Par ailleurs, le recourant risque une peine privative de liberté importante. On peut dès lors sérieusement craindre qu’il cherche, en cas de libération, à se soustraire aux poursuites pénales engagées contre lui et à la sanction encourue, en partant et demeurant à l’étranger. Compte tenu du fait que son projet de rendre visite à ses parents n’est pas étayé, il n’est pas possible d’opérer une véritable pesée des intérêts en présence. Cela étant et au vu du risque de fuite, il n’est pas disproportionné de lui interdire de sortir de Suisse.</w:t>
      </w:r>
    </w:p>
    <w:p>
      <w:r>
        <w:rPr>
          <w:b/>
        </w:rPr>
        <w:t>E. 3.4</w:t>
      </w:r>
    </w:p>
    <w:p>
      <w:r>
        <w:t>Au vu de l’ensemble des considérations qui précèdent, le refus de lever la mesure de substitution litigieuse n’est pas contraire à l’art. 237 CPP ni à l’art. 36 Cst. Il n’y a donc pas de violation de la loi et encore moins d’abus ou d’excès du pouvoir d’appréciation.</w:t>
      </w:r>
    </w:p>
    <w:p>
      <w:r>
        <w:rPr>
          <w:b/>
        </w:rPr>
        <w:t>E. 4</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par 990 fr. (art. 20 al. 1 TFIP [tarif des frais de procédure et indemnités en matière pénale du 28 septembre 2010 ; RSV 312.03.1]) et des frais imputables à la défense d’office (art. 422 al. 1 et 2 let. a CPP), fixés à 360 fr., plus la TVA par 27 fr. 70, soit à 387 fr. 70 au</w:t>
      </w:r>
    </w:p>
    <w:p>
      <w:r>
        <w:t>- 9 - total, seront mis à la charge de T.________, qui succombe (art. 428 al. 1 CPP). Le remboursement à l’Etat de l’indemnité allouée au défenseur d’office du recourant ne sera toutefois exigible que pour autant que la situation économique de ce dernier le permette (art. 135 al. 4 CPP). Pour le surplus, il appartiendra à la Procureure de clore son enquête, maintenant ouverte il y a plus de deux ans. Par ces motifs, la Chambre des recours pénale prononce : I. Le recours est rejeté. II. L’ordonnance du 23 juillet 2018 est confirmée. III. L’indemnité allouée au défenseur d’office de T.________ est fixée à 387 fr. 70 (trois cent huitante-sept francs et septante centimes). IV. Les frais d’arrêt, par 990 fr. (neuf cent nonante francs), ainsi que l’indemnité due au défenseur d’office de T.________, par 387 fr. 70 (trois cent huitante-sept francs et septante centimes), sont mis à la charge de ce dernier. V. Le remboursement à l'Etat de l'indemnité allouée au chiffre III ci-dessus ne sera exigible que pour autant que la situation économique de T.________ le permette. VI. L’arrêt est exécutoire. Le président : La greffière :</w:t>
      </w:r>
    </w:p>
    <w:p>
      <w:r>
        <w:t>- 10 - Du Le présent arrêt, dont la rédaction a été approuvée à huis clos, est notifié, par l'envoi d'une copie complète, à : - Me Pierre-Xavier Luciani, avocat (pour T.________), - Ministère public central, et communiqué à : - Mme la Présidente du Tribunal des mesures de contrainte, - Mme la Procureure de l’arrondissement de l’Est vaudois, - Me Yan Schumacher, avocat (pour N.________), - Me Virginie Rodigari, avocate (pour F.________), - Dr [...], - Fondation vaudoise de probation,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