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PE16.012870 vom 7. Februar 2019</w:t>
      </w:r>
    </w:p>
    <w:p>
      <w:r>
        <w:t>VD Tribunal cantonal, 2019-02-07, FR</w:t>
      </w:r>
    </w:p>
    <w:p>
      <w:r>
        <w:rPr>
          <w:b/>
        </w:rPr>
        <w:t xml:space="preserve">Quelle: </w:t>
      </w:r>
      <w:r>
        <w:t>https://mcp.opencaselaw.ch/entscheid/vd_gerichte_PE16.012870</w:t>
      </w:r>
    </w:p>
    <w:p>
      <w:r>
        <w:t>FR: VD_GERICHTE PE16.012870 du 7 février 2019</w:t>
      </w:r>
    </w:p>
    <w:p>
      <w:r>
        <w:t>IT: VD_GERICHTE PE16.012870 del 7 febbraio 2019</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d'un retrait de plainte est susceptible de recours selon les art. 393 ss</w:t>
      </w:r>
    </w:p>
    <w:p>
      <w:r>
        <w:t>- 4 - CPP (CREP 26 août 2015/570 consid. 1.3). Ce recours s’exerce auprès de l’autorité de recours (cf. art. 20 al. 1 let. b CPP) qui est, dans le canton de Vaud, la Chambre des recours pénale du Tribunal cantonal (art. 13 LVCPP [loi vaudoise du 19 mai 2009 d’introduction du code de procédure pénale suisse; BLV 312.01]; art. 80 LOJV [loi vaudoise du 12 décembre 1979 d’organisation judiciaire; BLV 173.01]). Le recours doit être adressé par écrit, dans un délai de dix jours dès la notification de la décision attaquée (cf. art. 384 let. b CPP), à l’autorité de recours (art. 396 al. 1 CPP).</w:t>
      </w:r>
    </w:p>
    <w:p>
      <w:r>
        <w:rPr>
          <w:b/>
        </w:rPr>
        <w:t>E. 1.2</w:t>
      </w:r>
    </w:p>
    <w:p>
      <w:r>
        <w:t>Satisfaisant aux conditions de forme posées par l’art. 385 al. 1 CPP et interjeté dans le délai légal auprès de l’autorité compétente par le prévenu, qui a qualité pour recourir pour contester la mise à sa charge d’une partie des frais de procédure et le refus d’une indemnité au titre de l’art. 429 al. 1 CPP, le recours est formellement recevable. La cognition du juge de céans est ainsi limitée aux chiffres III et IV du dispositif du prononcé entrepris.</w:t>
      </w:r>
    </w:p>
    <w:p>
      <w:r>
        <w:rPr>
          <w:b/>
        </w:rPr>
        <w:t>E. 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BLV 312.01), un membre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accessoires d'une décision, les frais, les indemnités et les confiscations (FF 2006 prévenu. 1057 ss, spéc. p. 1297). En l'espèce, le recourant se limite à contester la mise à sa charge des frais de procédure, par 525 fr., et le refus d’une indemnité au titre de l’art. 429 al. 1 CPP d’un montant de 2'814 fr. 30.</w:t>
      </w:r>
    </w:p>
    <w:p>
      <w:r>
        <w:t>- 5 - N’excédant pas 5'000 fr., la valeur litigieuse place le recours dans la compétence d’un membre de la Chambre des recours pénale statuant en qualité de juge unique (art. 395 let. b CPP).</w:t>
      </w:r>
    </w:p>
    <w:p>
      <w:r>
        <w:rPr>
          <w:b/>
        </w:rPr>
        <w:t>E. 2.3</w:t>
      </w:r>
    </w:p>
    <w:p>
      <w:r>
        <w:t>; Mizel/Rétornaz, in : Kuhn/Jeanneret [éd.], op. cit., n. 2 ad art. 426 CPP).</w:t>
      </w:r>
    </w:p>
    <w:p>
      <w:r>
        <w:rPr>
          <w:b/>
        </w:rPr>
        <w:t>E. 3.1</w:t>
      </w:r>
    </w:p>
    <w:p>
      <w:r>
        <w:t>Le recourant conteste la mise à sa charge d’une partie des frais de procédure.</w:t>
      </w:r>
    </w:p>
    <w:p>
      <w:r>
        <w:rPr>
          <w:b/>
        </w:rPr>
        <w:t>E. 3.2</w:t>
      </w:r>
    </w:p>
    <w:p>
      <w:r>
        <w:t>L’art. 423 CPP prévoit que les frais de procédure sont mis à la charge de la Confédération ou du canton qui a conduit la procédure, sauf disposition contraire de la loi.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ATF 116 Ia 162, JdT 1992 IV 52;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w:t>
      </w:r>
    </w:p>
    <w:p>
      <w:r>
        <w:t>- 6 - des principes découlant de l'art. 41 CO (TF 6B_439/2013 précité consid. 1.1; TF 6B_99/2011 du 13 septembre 2011 consid. 5.1.2; Chapuis, in : Kuhn/Jeanneret [éd.], Code de procédure pénale suisse, Commentaire romand, Bâle 2011, n. 2 ad art. 426 CPP). Le fait reproché doit constituer une violation claire de la norme de comportement (ATF 119 Ia 332 consid. 1b; TF 6B_439/2013 précité consid. 1.1). L'acte répréhensible n'a pas à être commis intentionnellement. La négligence suffit, sans qu'il soit besoin qu'elle soit grossière (ATF 109 Ia 160 consid. 4a; TF 6B_439/2013 précité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Ia 162 consid. 2c, JdT 1992 IV 52).</w:t>
      </w:r>
    </w:p>
    <w:p>
      <w:r>
        <w:rPr>
          <w:b/>
        </w:rPr>
        <w:t>E. 3.3</w:t>
      </w:r>
    </w:p>
    <w:p>
      <w:r>
        <w:t>En l’occurrence, par jugement de divorce du 4 septembre 2018, la garde de C.X.________ a été confiée à la mère tandis que la garde de D.X.________ a été confiée à son père, chaque parent assumant les frais de l’enfant dont la garde lui était confiée. En janvier 2016, D.X.________ est retourné vivre chez sa mère et le 25 janvier 2017, les parties ont formellement convenu du transfert du droit de garde de D.X.________ de son père à sa mère. Il apparait cependant qu’aucune décision civile n’a été rendue fixant le montant des pensions que A.X.________ devrait verser, pour l’entretien de son fils, à B.X.________, et aucune nouvelle convention n’a été signée entre les parties sur ce point. On relèvera en outre que</w:t>
      </w:r>
    </w:p>
    <w:p>
      <w:r>
        <w:t>- 7 - A.X.________ s’est acquitté des frais médicaux et des primes d’assurance maladie pour D.X.________, ainsi que de contributions complémentaires, soit 5'000 fr. en décembre 2016, puis 500 fr. par mois ensuite (P. 28/3). Enfin, le décompte établi par A.X.________ sur la base du jugement du Tribunal civil de l’arrondissement de La Côte du 26 juillet 2018, montre qu’il s’est acquitté de montants plus élevés que ce qu’il aurait dû pendant la période litigieuse, démontrant ainsi sa bonne foi. Si sur un plan civil, on peut naturellement comprendre la position et l’argumentation de B.X.________, qui a assumé en grande partie seule la garde de ses enfants, on ne peut toutefois pas en tenir compte dans le cadre de la cause pénale. En effet, il n’est pas établi que les éléments constitutifs de l’infraction de violation d’une obligation d’entretien soient réalisés, les pièces produites paraissant au contraire démontrer que l’intimé était à jour dans le paiement des contributions d’entretien dues et qu’il aurait même versé des montants excédentaires. Ainsi, sur ce point, on ne discerne aucune violation d’une norme de comportement. Vu ce qui précède, on ne saurait conclure que le recourant aurait provoqué de manière illicite et fautive au regard de l’ordre juridique suisse, l’ouverture de la procédure. Les frais de la présente cause ne peuvent ainsi pas être mis à sa charge. Le recours doit donc être admis sur ce point.</w:t>
      </w:r>
    </w:p>
    <w:p>
      <w:r>
        <w:rPr>
          <w:b/>
        </w:rPr>
        <w:t>E. 4.1</w:t>
      </w:r>
    </w:p>
    <w:p>
      <w:r>
        <w:t>Le recourant reproche au Procureur de ne pas lui avoir alloué une indemnité au sens de l’art. 429 CPP.</w:t>
      </w:r>
    </w:p>
    <w:p>
      <w:r>
        <w:rPr>
          <w:b/>
        </w:rPr>
        <w:t>E. 4.2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w:t>
      </w:r>
    </w:p>
    <w:p>
      <w:r>
        <w:t>- 8 - raison d’une atteinte particulièrement grave à sa personnalité, notamment en cas de privation de liberté (let. c). L'indemnité selon l'art. 429 al. 1 let. a CPP concerne les dépenses du prévenu pour un avocat de choix (ATF 139 IV 241 consid. 1 ; ATF 138 IV 205 consid. 1). L'allocation d'une telle indemnité n'est pas limitée aux cas de défense obligatoire visés par l'art. 130 CPP. Elle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Concernant un délit ou un crime, ce n'est qu'exceptionnellement que l'assistance d'un avocat peut être considérée comme ne constituant pas un exercice raisonnable des droits de la défense. Tel pourrait par exemple être le cas lorsque la procédure fait immédiatement l'objet d'un classement après une première audition (cf. ATF 138 IV 197 consid. 2.3.5, JdT 2013 IV 184 ; TF 6B_403/2015 du 25 février 2016 consid. 2.1). L’art. 430 al. 1 CPP dispose que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TF 6B_77/2013 du 4 mars 2013 consid. 2.4). L’art. 430 al. 1 CPP posant les mêmes conditions que l’art. 426 al. 2 CPP, il est adéquat de se référer dans les deux cas à la jurisprudence rendue en matière de condamnation aux frais du prévenu</w:t>
      </w:r>
    </w:p>
    <w:p>
      <w:r>
        <w:t>- 9 - acquitté (ATF 137 IV 352 précité ; TF 6B_77/2013 du 4 mars 2013 consid.</w:t>
      </w:r>
    </w:p>
    <w:p>
      <w:r>
        <w:rPr>
          <w:b/>
        </w:rPr>
        <w:t>E. 4.3</w:t>
      </w:r>
    </w:p>
    <w:p>
      <w:r>
        <w:t>En l’occurrence, c’est à tort que le premier juge a retenu une faute concomitante de A.X.________, dès lors qu’aucune norme de comportement n’a été violée par ce dernier en lien avec le paiement des aliments (cf. consid. 3.3 ci-dessus). Partant, A.X.________ peut prétendre à l’allocation d’une indemnité au titre de l’art. 429 al. 1 let. a CPP et son recours doit être admis sur ce point également. S’agissant de la quotité de cette indemnité, il convient qu’elle soit fixée par le Tribunal de police de l’arrondissement de La Côte, celui-ci ne s’étant pas encore prononcé sur les opérations alléguées et étant le mieux à même de procéder à cette analyse, compte tenu de sa connaissance de la cause et conformément au principe du double degré de juridiction (CREP 11 septembre 2018/703).</w:t>
      </w:r>
    </w:p>
    <w:p>
      <w:r>
        <w:rPr>
          <w:b/>
        </w:rPr>
        <w:t>E. 5</w:t>
      </w:r>
    </w:p>
    <w:p>
      <w:r>
        <w:t>En définitive, le recours doit être admis, les chiffres III et IV du dispositif du prononcé attaqué annulés et le dossier de la cause renvoyé au Tribunal de police de l’arrondissement de La Côte pour qu’il procède dans le sens des considérants qui précèdent. Le prononcé sera maintenu pour le surplus. Les frais de la procédure de recours, constitués en l'espèce du seul émolument d'arrêt, par 810 fr. (art. 422 al. 1 CPP et 20 al. 1 TFIP [Tarif des frais de procédure et indemnités en matière pénale du 28 septembre 2010 ; BLV 312.03.1]), seront, vu les circonstances de la cause, exceptionnellement laissés à la charge de l’Etat (art. 425 CPP). Le recourant, qui a procédé avec l’assistance d’un avocat de choix et qui a obtenu gain de cause, a droit à une indemnité pour les dépenses occasionnées par la procédure de recours (art. 436 al. 1 et 433 al. 1 CPP). Au vu du mémoire produit, cette indemnité sera fixée à 600 fr., soit deux heures d’activité au tarif horaire d’avocat de 300 fr. (art. 26a al.</w:t>
      </w:r>
    </w:p>
    <w:p>
      <w:r>
        <w:t>- 10 - 3 TFIP),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1er mars 2017/904) –, par 46 fr. 20 fr., soit à 646 fr. 20 au total. Elle sera également laissée à la charge de l’Etat. Par ces motifs, le juge unique prononce : I. Le recours est admis. II. Le prononcé est annulé aux chiffres III et IV de son dispositif. Le prononcé est maintenu pour le surplus. III. Le dossier de la cause est renvoyé au Tribunal de police de l’arrondissement de La Côte pour qu’il procède dans le sens des considérants. IV. Les frais d’arrêt, par 810 fr. (huit cent dix francs), sont laissés à la charge de l’Etat V. Une indemnité de 646 fr. 20 (six cent quarante-six francs et vingt centimes) est allouée à A.X.________ pour les dépenses occasionnées par la procédure de recours, à la charge de l’Etat VI. L’arrêt est exécutoire. Le juge unique : La greffière : Du Le présent arrêt, dont la rédaction a été approuvée à huis clos, est notifié, par l'envoi d'une copie complète, à : - Me Manuela Ryter Godel, avocate (pour A.X.________), - Mme B.X.________, - Ministère public central,</w:t>
      </w:r>
    </w:p>
    <w:p>
      <w:r>
        <w:t>- 11 - et communiqué à : - Mme la Procureure de l’arrondissement de La Côte, - Mme la Présidente du Tribunal de police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