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PE16.012707 vom 25. Juli 2016</w:t>
      </w:r>
    </w:p>
    <w:p>
      <w:r>
        <w:t>VD Tribunal cantonal, 2016-07-25, FR</w:t>
      </w:r>
    </w:p>
    <w:p>
      <w:r>
        <w:rPr>
          <w:b/>
        </w:rPr>
        <w:t xml:space="preserve">Quelle: </w:t>
      </w:r>
      <w:r>
        <w:t>https://mcp.opencaselaw.ch/entscheid/vd_gerichte_PE16.012707</w:t>
      </w:r>
    </w:p>
    <w:p>
      <w:r>
        <w:t>FR: VD_GERICHTE PE16.012707 du 25 juillet 2016</w:t>
      </w:r>
    </w:p>
    <w:p>
      <w:r>
        <w:t>IT: VD_GERICHTE PE16.012707 del 25 luglio 2016</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 qui doit être considéré comme tel vu la date à laquelle il a été rédigé – est recevable.</w:t>
      </w:r>
    </w:p>
    <w:p>
      <w:r>
        <w:rPr>
          <w:b/>
        </w:rPr>
        <w:t>E. 2</w:t>
      </w:r>
    </w:p>
    <w:p>
      <w:r>
        <w:t>A l’appui de son recours, F.________ conteste en substance être impliqué dans des vols et soutient qu’il n’aurait aucun lien avec les biens présumés volés découverts dans l’appartement de N.________.</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w:t>
      </w:r>
    </w:p>
    <w:p>
      <w:r>
        <w:t>- 5 - En l’espèce, alors qu’il avait été condamné à quatre reprises pour des infractions contre le patrimoine, notamment pour vol en bande, et qu’il faisait l’objet d’une mesure de renvoi exécutoire, F.________ a été appréhendé dans un appartement décrit par le Tribunal des mesures de contrainte comme étant une véritable « caverne d’Ali Baba ». Le prévenu, qui n’a aucune source de revenu, a en outre admis vivre dans cet appartement à tout le moins depuis le 3 juillet 2016. Au vu de ces éléments, force est de considérer que les soupçons qui pèsent sur le recourant quant à son implication dans des vols sont importants.</w:t>
      </w:r>
    </w:p>
    <w:p>
      <w:r>
        <w:rPr>
          <w:b/>
        </w:rPr>
        <w:t>E. 2.3</w:t>
      </w:r>
    </w:p>
    <w:p>
      <w:r>
        <w:t>Selon le premier juge, le maintien en détention du recourant est justifié en raison d’un risque de fuite, de collusion et de réitération, ce que le recourant n’a pas formellement remis en question.</w:t>
      </w:r>
    </w:p>
    <w:p>
      <w:r>
        <w:rPr>
          <w:b/>
        </w:rPr>
        <w:t>E. 2.3.1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2.3.2</w:t>
      </w:r>
    </w:p>
    <w:p>
      <w:r>
        <w:t>En l’espèce, F.________, ressortissant algérien, n’a aucune attache avec la Suisse où il séjourne illégalement. Compte tenu des charges qui pèsent sur lui et de la peine importante à laquelle il s’expose au vu de ses antécédents, le risque qu’il quitte tente de se soustraire à sa condamnation en quittant la Suisse ou en retournant dans la clandestinité est manifeste. Les conditions de l’art. 221 al. 1 CPP étant alternatives (Moreillon/Parein-Reymond, Petit commentaire, Code de procédure pénale, Bâle 2013, n. 7 ad art. 221 CPP), l’existence d’un risque de fuite dispense</w:t>
      </w:r>
    </w:p>
    <w:p>
      <w:r>
        <w:t>- 6 - d’examiner si la détention provisoire s’impose également en raison d’un risque de réitération et/ou de collusion. Force est néanmoins de constater que ces risques sont manifestement concrets au vu des antécédents récents du prévenu et de son mode de vie, d’une part, et des investigations en cours pour déterminer la provenance des objets découverts au domicile de N.________ et l’étendue de l’activité délictueuse du prévenu, d’autre part.</w:t>
      </w:r>
    </w:p>
    <w:p>
      <w:r>
        <w:rPr>
          <w:b/>
        </w:rPr>
        <w:t>E. 2.4</w:t>
      </w:r>
    </w:p>
    <w:p>
      <w:r>
        <w:t>Pour le surplus, au vu des actes qui sont reprochés au prévenu, le principe de la proportionnalité de la détention provisoire, ordonnée pour une durée d’un mois, demeure pleinement respecté (cf. art. 212 al. 3 CPP; ATF 133 I 168 consid. 4.1; ATF 132 I 21 consid. 4.1).</w:t>
      </w:r>
    </w:p>
    <w:p>
      <w:r>
        <w:rPr>
          <w:b/>
        </w:rPr>
        <w:t>E. 3</w:t>
      </w:r>
    </w:p>
    <w:p>
      <w:r>
        <w:t>En définitive, le recours, manifestement mal fondé, doit être rejeté sans autre échange d’écritures (art. 390 al. 2 CPP) et l'ordonnance du 9 juillet 2016 confirmée. Les frais de la procédure de recours, constitués en l’espèce de l'émolument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9 juillet 2016 est confirmée. III. Les frais du présent arrêt, par 550 fr. (cinq cent cinquante francs), sont mis à la charge de F.________.</w:t>
      </w:r>
    </w:p>
    <w:p>
      <w:r>
        <w:t>- 7 - IV. L’arrêt est exécutoire. Le vice-président : La greffière : Du Le présent arrêt, dont la rédaction a été approuvée à huis clos, est notifié, par l'envoi d'une copie complète, à : - Me Jean-Marc Courvoisier, avocat (pour F.________),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