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PE16.011943 vom 17. August 2021</w:t>
      </w:r>
    </w:p>
    <w:p>
      <w:r>
        <w:t>VD Tribunal cantonal, 2021-08-17, FR</w:t>
      </w:r>
    </w:p>
    <w:p>
      <w:r>
        <w:rPr>
          <w:b/>
        </w:rPr>
        <w:t xml:space="preserve">Quelle: </w:t>
      </w:r>
      <w:r>
        <w:t>https://mcp.opencaselaw.ch/entscheid/vd_gerichte_PE16.011943</w:t>
      </w:r>
    </w:p>
    <w:p>
      <w:r>
        <w:t>FR: VD_GERICHTE PE16.011943 du 17 août 2021</w:t>
      </w:r>
    </w:p>
    <w:p>
      <w:r>
        <w:t>IT: VD_GERICHTE PE16.011943 del 17 agosto 2021</w:t>
      </w:r>
    </w:p>
    <w:p>
      <w:pPr>
        <w:pStyle w:val="Heading2"/>
      </w:pPr>
      <w:r>
        <w:t>Erwägungen</w:t>
      </w:r>
    </w:p>
    <w:p>
      <w:r>
        <w:rPr>
          <w:b/>
        </w:rPr>
        <w:t>E. 1</w:t>
      </w:r>
    </w:p>
    <w:p>
      <w:r>
        <w:t>CP prévoit une diminution de la peine pécuniaire maximale de 360 à 180 jours-amende, le nouveau droit vise à réduire le champ d'application de la peine pécuniaire et par conséquent à accroître celui de la peine privative</w:t>
      </w:r>
    </w:p>
    <w:p>
      <w:r>
        <w:t>- 15 - de liberté, ce qui permet de considérer que l'ancien régime des peines était, à tout le moins sous cet angle, moins sévère que le droit en vigueur depuis le 1er janvier 2018 (ATF 147 IV 241 consid. 4.3.2 p. 247 s. ; voir aussi arrêt TF 6B_792/2021 du 14 février 2022 consid. 1.2). Selon la jurisprudence également, l'art. 41 aI. 1 CP dans sa teneur actuelle n'est pas plus favorable au prévenu que cette disposition dans sa teneur jusqu'au 31 décembre 2017 (TF 6B_375/2019 du 12 juin 2019 consid. 2 ; TF 6B_598/2019 du 5 juillet 2019 consid. 3.1). 2.1.2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 2.1.3 Les principes qui viennent d'être exposés valent aussi pour le choix entre plusieurs sanctions possibles, et non seulement pour la détermination de la durée de celle qui est prononcée. Que ce soit par son genre ou sa quotité, la peine doit être adaptée à la culpabilité de l'auteur (ATF 147 IV 241 consid. 3.2).</w:t>
      </w:r>
    </w:p>
    <w:p>
      <w:r>
        <w:t>- 16 -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Le choix de la sanction doit être opéré en tenant compte au premier chef de l'adéquation de la peine, de ses effets sur l'auteur et sur sa situation sociale ainsi que de son efficacité du point de vue de la prévention (ATF 147 IV 241 consid. 3.2). La prise en compte de la culpabilité dans le choix de la peine ne saurait cependant justifier la simple détermination d'un quantum d'unités, que le juge n'aurait ensuite plus qu'à traduire en jours-amende ou en jours de privation de liberté, selon les limites des sanctions en question. Au contraire, le juge doit déterminer le genre de peine devant sanctionner une infraction, en tenant compte des différents critères énoncés précédemment — parmi lesquels la culpabilité —, ainsi qu'en fixer la quotité. Il est en particulier exclu, pour le juge, lors de concours d'infractions, de fixer un nombre d'«unités pénales» pour chaque acte, puis de procéder à l'aggravation avant de choisir le genre de sanction. En effet, l'application de l'art. 49 CP suppose que les peines soient du même genre, ce qui implique que le juge examine d'abord, pour chaque infraction commise, la nature de la peine à prononcer (ATF 147 IV 241 consid. 3.2 et les références). La formulation du nouvel art. 41 CP établit clairement une priorité pour la peine pécuniaire par rapport à la peine privative de liberté pour les peines comprises entre 3 et 180 unités pénales (Kuhn/Vuille, in Commentaire romand, Code pénal I, 2e éd. Bâle 2021, n. 2 ad. art. 41 CP). Au sens de l'art. 41 al. 1 let. a CP, une peine privative de liberté peut être</w:t>
      </w:r>
    </w:p>
    <w:p>
      <w:r>
        <w:t>- 17 - prononcée à la place d'une peine pécuniaire lorsqu'il apparaît, sur la base des antécédents du prévenu, de son attitude ou de ses déclarations durant la procédure, qu'une peine pécuniaire ne suffira pas à le décourager de passer une nouvelle fois à l'acte. Le seul critère pertinent est donc celui de la prévention spéciale ; il ne serait pas admissible d'exclure par principe la peine pécuniaire pour certaines catégories d'infractions, notamment pour dissuader des infracteurs potentiels (prévention générale) (Kuhn/Vuille, op. cit., n. 5 ad art. 41 CP ; voir aussi arrêt TC FR 501 2021 171 du 22 mars 2022 consid. 2.2). 2.1.4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6B_434/2021 du 7 avril 2022 consid. 3.2 ; TF 6B_79/2020 du 14 février 2020 consid. 2.1.2).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Lorsque les peines envisagées concrètement sont de même genre, l'art. 49 al. 1 CP impose au juge, dans un premier temps, de fixer la peine pour l'infraction abstraitement – d'après le cadre légal fixé pour</w:t>
      </w:r>
    </w:p>
    <w:p>
      <w:r>
        <w:t>- 18 -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6B_434/2021 précité consid. 3.2). 2.1.5 Enfin, en vertu de l'art. 48 let. e CP, le juge atténue la peine si l'intérêt à punir a sensiblement diminué en raison du temps écoulé depuis l'infraction et que l'auteur s'est bien comporté dans l'intervalle. Cette disposition ne fixe pas de délai.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 ATF 140 IV 145 consid. 3.1; ATF 132 IV 1 consid. 6.1 et 6.2 ; TF 6B_590/2020 du 1er octobre 2020 consid. 1.1). 2.2 En l’espèce, l’appelant est reconnu coupable d’abus de confiance qualifié pour les faits commis entre le mois de septembre 2008 et début 2009, tel que décrits au chiffre 2.1 de l’acte d’accusation (cf. ch. 2.1 supra) et d’abus de confiance pour les faits qui se sont déroulés le 8 janvier 2013, décrits au chiffre 2.3 de l’acte d’accusation (cf. ch. 2.2 supra). L’abus de confiance est passible d’une peine privative de liberté de</w:t>
      </w:r>
    </w:p>
    <w:p>
      <w:r>
        <w:t>- 19 - cinq ans au plus ou d’une peine pécuniaire (art. 138 ch. 1 CP), tandis que l’abus de confiance qualifié est passible d’une peine privative de liberté de dix ans au plus ou une peine pécuniaire (art. 138 ch. 2 CP). La culpabilité de l’appelant est lourde. Il a profité de la faiblesse de A.P.________ et de B.P.________, puis du décès de cette dernière, pour leur subtiliser des valeurs importantes et en disposer sans droit, alors même qu’il était chargé de la gestion et de la conservation de leur patrimoine. L’appelant n’a au demeurant nullement pris conscience de la gravité de ses actes, puisqu’il se targue d’avoir toujours reçu des appréciations positives sur son travail de curateur de la part de la Justice de paix, en produisant à cet effet des lettres types qui ne prennent nullement en compte les faits objets de la présente procédure. Il minimise au surplus les conséquences de ses actes en estimant qu’on ne pourrait lui reprocher que de simples omissions de faire signer des quittances, alors même que le patrimoine qui lui avait été confié, d’une valeur importante, a disparu. S’agissant du genre de peines à prononcer, force est de retenir que même s'il a toujours contesté le caractère illicite des actes qui lui sont reprochés, le casier judiciaire de l’appelant est vierge. De plus, il convient de tenir compte de l’écoulement du temps. En effet, il n'a pas commis de nouvelles infractions depuis plus de 10 ans. Dans ces circonstances, il est adéquat de prononcer une peine pécuniaire pour sanctionner son comportement. Dans la mesure où les deux infractions retenues à l’encontre de l’appelant se prescrivent par 15 ans, pour les mêmes motifs d’écoulement du temps, les conditions d’application de l'art. 48 let. e CP sont réalisées pour l’ensemble des infractions retenues. L’appropriation illégitime des biens des époux B.P.________ et A.P.________ décrite au chiffre 2.1 de l'acte d'accusation (cf. ch. 2.1 supra) étant l’infraction la plus grave, il convient de sanctionner ces faits par une peine pécuniaire de 6 mois. Par l’effet du concours, on ajoutera 2 mois à cette peine pour sanctionner les faits commis après le décès de B.P.________ décrits au chiffre 2.3 de l'acte d'accusation (cf. ch. 2.2 supra). L’appelant doit ainsi être condamné à une peine pécuniaire de 240 jours-amende. Au regard de</w:t>
      </w:r>
    </w:p>
    <w:p>
      <w:r>
        <w:t>- 20 - sa situation personnelle, de ses revenus et charges, le montant du jour- amende sera arrêté à 100 francs. Les conditions de l’octroi du sursis sont réalisées. Compte tenu du fait que l’appelant œuvre toujours dans un domaine d’activité à risque en tant que fiduciaire et qu’il a encore un mandat de curateur, il se justifie de fixer à 3 ans la durée du délai d’épreuve.</w:t>
      </w:r>
    </w:p>
    <w:p>
      <w:r>
        <w:rPr>
          <w:b/>
        </w:rPr>
        <w:t>E. 3</w:t>
      </w:r>
    </w:p>
    <w:p>
      <w:r>
        <w:t>En définitive, l’appel doit être partiellement admis et le jugement rendu le 17 août 2021 par le Tribunal correctionnel de l’arrondissement de l’Est vaudois modifié dans le sens du considérant qui précède (consid. 2.2 supra) et confirmé pour le surplus.</w:t>
      </w:r>
    </w:p>
    <w:p>
      <w:r>
        <w:rPr>
          <w:b/>
        </w:rPr>
        <w:t>E. 3.1</w:t>
      </w:r>
    </w:p>
    <w:p>
      <w:r>
        <w:t>La culpabilité de l’appelant étant intégralement confirmée, il n’y a pas lieu de modifier le sort des frais de la procédure d’appel antérieure à l’arrêt du Tribunal fédéral du 30 juin 2023, fixés à 3’560 fr., qui doivent être mis à la charge de l’appelant, dans la mesure où il succombe dans une très large mesure. L’admission partielle de son appel ne justifie en outre pas de lui allouer une indemnité réduite fondée sur l’art. 429 CPP dans la mesure où l’appelant n’a pas développé d’argumentation spécifique sur ce point. Ayant largement obtenu gain de cause, l’intimée Y.________ a droit à une indemnité pour les dépenses occasionnées par l’exercice raisonnable de ses droits durant la procédure d’appel antérieure à l’arrêt fédéral du 30 juin 2023 (art. 436 al. 1 CPP qui renvoie à l’art. 433 CPP). La liste d’opérations produite par Me Philippe Ciocca (P. 148) faisant état de 18.90 heures consacrées à la procédure d’appel, durée largement excessive, il y a lieu de s’en écarter. Compte tenu du fait que ce dernier était déjà le conseil de la plaignante en première instance et au vu de la complexité toute relative du dossier en appel, il se justifie de tenir compte de 2 heures pour des entretiens avec la cliente, de 3 heures pour la préparation de l’audience d’appel, d’une heure pour diverses opérations, en particulier pour les correspondances, et de deux heures pour l’audience d’appel, ce qui totalise 8 heures d’activité d’avocat. Il s’ensuit que les</w:t>
      </w:r>
    </w:p>
    <w:p>
      <w:r>
        <w:t>- 21 - honoraires dont il faut tenir compte s’élèvent à 2'400 fr. (8 heures d’activité d’avocat au tarif horaire de 300 fr.), plus les débours par 48 fr. (2 % des honoraires) et un montant correspondant à la TVA, par 188 fr. 50. En définitive, l’indemnité qui doit être allouée à Y.________ se monte à 2'636 fr. 50, à la charge de l’appelant W.________. Le dispositif notifié aux parties le 23 octobre 2023 omettant de mentionner cette indemnité, il convient de le rectifier d’office en y ajoutant un ch. III bis, prévoyant expressément l’allocation de cette indemnité en faveur de la plaignante, à la charge de l’appelant (art. 83 al. 1 CPP).</w:t>
      </w:r>
    </w:p>
    <w:p>
      <w:r>
        <w:rPr>
          <w:b/>
        </w:rPr>
        <w:t>E. 3.2</w:t>
      </w:r>
    </w:p>
    <w:p>
      <w:r>
        <w:t>S'agissant des dépenses occasionnées par l'exercice raisonnable des droits de défense en procédure d’appel postérieure à l’arrêt du Tribunal fédéral du 30 juin 2023, l’appelant conclut à l’octroi d’une indemnité au sens de l’art. 433 CPP sur la base d’une activité nécessaire d’avocat de 3 heures et 25 minutes (P. 160), ce qui peut être admis. En tenant compte de la durée de l’audience d’appel postérieure à l’arrêt du Tribunal fédéral du 30 juin 2023, c’est un mandat de 4 heures rémunéré au tarif horaire de 300 fr. qui doit être retenu. Il convient ainsi d’allouer à W.________ une indemnité de 1'447 fr. 50 pour les dépenses occasionnées par l’exercice raisonnable de ses droits pour la procédure d’appel postérieure à l’arrêt fédéral du 30 juin 2023. Cette indemnité sera laissée à la charge de l’Etat. Les frais d’appel postérieurs à l’arrêt du Tribunal fédéral du 30 juin 2023, constitués de l'émolument de jugement, par 2’050 fr. (cf. art. 21 al. 1 et 2 TFIP),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