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PE16.011932 vom 16. August 2016</w:t>
      </w:r>
    </w:p>
    <w:p>
      <w:r>
        <w:t>VD Tribunal cantonal, 2016-08-16, FR</w:t>
      </w:r>
    </w:p>
    <w:p>
      <w:r>
        <w:rPr>
          <w:b/>
        </w:rPr>
        <w:t xml:space="preserve">Quelle: </w:t>
      </w:r>
      <w:r>
        <w:t>https://mcp.opencaselaw.ch/entscheid/vd_gerichte_PE16.011932</w:t>
      </w:r>
    </w:p>
    <w:p>
      <w:r>
        <w:t>FR: VD_GERICHTE PE16.011932 du 16 août 2016</w:t>
      </w:r>
    </w:p>
    <w:p>
      <w:r>
        <w:t>IT: VD_GERICHTE PE16.011932 del 16 agosto 2016</w:t>
      </w:r>
    </w:p>
    <w:p>
      <w:pPr>
        <w:pStyle w:val="Heading2"/>
      </w:pPr>
      <w:r>
        <w:t>Volltext</w:t>
      </w:r>
    </w:p>
    <w:p>
      <w:r>
        <w:t>TRIBUNAL CANTONAL 541 PE16.011932-DTE CHAMBRE DE S RECO URS PEN ALE __________________________________________ Arrêt du 16 août 2016 __________________ Composition : M. MAILLARD, président MM. Krieger et Abrecht, juges Greffière : Mme Mirus ***** Art. 181 CP, 310 CPP Statuant sur le recours interjeté le 1er juillet 2016 conjointement par C.R.________ et B.R.________ contre l’ordonnance de non-entrée en matière rendue le 20 juin 2016 par le Ministère public de l’arrondissement du Nord vaudois dans la cause n° PE16.011932-DTE, la Chambre des recours pénale considère : En fait : A. Le 15 juin 2016, C.R.________ et B.R.________ ont déposé plainte pénale contre I.________ et X.________SA, en invoquant les motifs suivants. 351</w:t>
      </w:r>
    </w:p>
    <w:p>
      <w:r>
        <w:t>- 2 - Le 20 avril 2012, [...] est décédée des suites de ses blessures provoquées par un incendie volontaire et criminel survenu le 18 avril 2012, au [...]. Les héritiers de la défunte, C.R.________ et B.R.________, ont mandaté I.________, respectivement l’entreprise X.________SA, pour le terrassement, la démolition et le nettoyage de la parcelle sur laquelle l’immeuble incendié se trouvait. Pour ces travaux, l’entreprise en question avait établi un devis d’un montant de 54'000 fr., montant correspondant à l’indemnité proposée par l’ECA. Toutefois, X.________SA a fait notifier aux héritiers deux commandements de payer les 19 mai et 15 juin 2016 pour un montant total de 127'710 francs, auxquels les plaignants ont fait opposition. Dans un document non daté, le détail de la créance est mentionné comme il suit, à savoir des créances d’un montant total de 129'466 fr. 80, des intérêts de 74'040 fr. 85 et des frais de poursuite de 282 fr. 65. Selon les plaignants, il serait illicite de faire passer de 54’000 fr. à 129'466 fr. 80 les coûts de la même prestation et de calculer un intérêt de plus de la moitié de la valeur de la créance. A cet égard, l’entreprise aurait fait partir les intérêts depuis le 13 novembre 2004 au lieu du 13 novembre 2014. Elle aurait ainsi cherché à tirer parti de la situation financière critique des plaignants, dès lors qu’elle savait que ceux-ci était dans l’obligation de vendre l’immeuble à brève échéance pour éviter une vente forcée par l’Office des poursuites. B. Par ordonnance du 20 juin 2016, le Ministère public de l’arrondissement du Nord vaudois a refusé d’entrer en matière (I) et a laissé les frais de cette ordonnance à la charge de l’Etat. Le procureur a considéré que les éléments constitutifs de tentative de contrainte n’étaient pas réalisés, dès lors que la notification d’un commandement de payer dans le cadre d’un litige civil préexistant pouvait se justifier et qu’il n’apparaissait pas d’emblée que le commandement de payer fût sans fondement. S’agissant des intérêts fixés au 13 novembre 2004, il s’agissait le cas échéant d’une erreur de plume du créancier, ce qui ne dénotait pas non plus une intention délictuelle.</w:t>
      </w:r>
    </w:p>
    <w:p>
      <w:r>
        <w:t>- 3 - C. Par acte du 1er juillet 2016, C.R.________ et B.R.________, par leur conseil, ont conjointement recouru auprès de la Chambre des recours pénale contre cette ordonnance, en concluant, avec dépens, à son annulation, le dossier de la cause étant renvoyé au procureur pour qu’il poursuive les opérations d’enquête. Il n’a pas été ordonné d’échanges d’écritures. En d roit : 1. 1.1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1.2 Interjeté dans le délai légal auprès de l’autorité compétente par les parties plaignantes qui ont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w:t>
      </w:r>
    </w:p>
    <w:p>
      <w:r>
        <w:t>- 4 -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3. 3.1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la; ATF 120 IV 17 consid. 2a/aa). Sur le plan subjectif, il faut que l'auteur ait agi avec conscience et volonté, soit au moins qu'il ait accepté l'éventualité que le procédé illicite employé entrave le destinataire dans sa liberté de décision (ATF 120 IV 17 consid. 2c; TF 6B_38/2011 consid. 2.2.1 du 26 avril 2011). Selon la jurisprudence du Tribunal fédéral, pour une personne de sensibilité moyenne, faire l'objet d'un commandement de payer portant</w:t>
      </w:r>
    </w:p>
    <w:p>
      <w:r>
        <w:t>- 5 -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6S.853/2000 du 9 mai 2001 consid. 4c; TF 6B_281/2013 du 16 juillet 2013 consid. 1.1.2et 1.2). En outre, elle est de nature à porter atteinte au crédit professionnel du destinataire (TF 6B_281/2013 du 16 juillet 2013 consid. 1.2). 3.2 En l’espèce, il est vrai que le montant réclamé aux recourants par X.________SA est sensiblement plus important que celui figurant dans le devis établi par cette entreprise et que la situation des recourants, connue d’I.________, était délicate au vu des démarches difficiles qui ont dû être entreprises par les intéressés ensuite de l’incendie criminel. Toutefois, il ressort de la plainte pénale que la créance de X.________SA existait bel et bien et qu’elle a d’ailleurs été payée, à tout le moins en partie, par les acheteurs de l’immeuble. Ainsi, dans les circonstances du cas concret, on ne saurait considérer que la notification des commandements de payer litigieux était propre à impressionner les recourants au point de les entraver dans leur liberté de décision ou d’action. Quant aux intérêts fixés au 13 novembre 2004, il faut admettre avec le procureur qu’il s’agit manifestement d’une erreur de plume du créancier. Les éléments constitutifs de l’infraction de contrainte n’étant pas réalisés, celle-ci ne peut pas non plus être envisagée sous forme de tentative (art. 22 CP). Par conséquent, le refus du procureur d’entrer en matière sur la plainte pénale des recourants ne prête pas le flanc à la critique.</w:t>
      </w:r>
    </w:p>
    <w:p>
      <w:r>
        <w:t>- 6 - 4. Il résulte de ce qui précède que le recours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rejeté. II. L’ordonnance du 20 juin 2016 est confirmée. III. Les frais d’arrêt, par 660 fr. (six cent soixante francs), sont mis pour moitié à la charge de C.R.________, soit par 330 fr. (trois cent trente francs), et pour moitié à la charge de B.R.________, soit par 330 fr. (trois cent trente francs), solidairement entre eux. IV. L’arrêt est exécutoire. Le président : La greffière :</w:t>
      </w:r>
    </w:p>
    <w:p>
      <w:r>
        <w:t>- 7 - Du Le présent arrêt, dont la rédaction a été approuvée à huis clos, est notifié, par l'envoi d'une copie complète, à : - Me Paul-Arthur Treyvaud, avocat (pour C.R.________ et B.R.________),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