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PE16.011468 vom 20. Januar 2017</w:t>
      </w:r>
    </w:p>
    <w:p>
      <w:r>
        <w:t>VD Tribunal cantonal, 2017-01-20, FR</w:t>
      </w:r>
    </w:p>
    <w:p>
      <w:r>
        <w:rPr>
          <w:b/>
        </w:rPr>
        <w:t xml:space="preserve">Quelle: </w:t>
      </w:r>
      <w:r>
        <w:t>https://mcp.opencaselaw.ch/entscheid/vd_gerichte_PE16.011468</w:t>
      </w:r>
    </w:p>
    <w:p>
      <w:r>
        <w:t>FR: VD_GERICHTE PE16.011468 du 20 janvier 2017</w:t>
      </w:r>
    </w:p>
    <w:p>
      <w:r>
        <w:t>IT: VD_GERICHTE PE16.011468 del 20 gennaio 2017</w:t>
      </w:r>
    </w:p>
    <w:p>
      <w:pPr>
        <w:pStyle w:val="Heading2"/>
      </w:pPr>
      <w:r>
        <w:t>Erwägungen</w:t>
      </w:r>
    </w:p>
    <w:p>
      <w:r>
        <w:rPr>
          <w:b/>
        </w:rPr>
        <w:t>E. 1</w:t>
      </w:r>
    </w:p>
    <w:p>
      <w:r>
        <w:t>Une ordonnance de classement rendue par le Ministère public peut être attaquée par la voie du recours (art. 393 al. 1 let. a CPP [Code de procédure pénale suisse du 5 octobre 2007 ; RS 312.0]) auprès de la Chambre des recours pénale du Tribunal cantonal (art. 396 al. 1 CPP, 13 LVCPP [loi d’introduction du code de procédure pénale suisse du 19 mai 2009 ; RSV 312.01] et 80 LOJV [loi d'organisation judiciaire du 12 septembre 1979 ; RSV 173.01]). Le recours doit être envoyé par écrit, dans un délai de dix jours dès la notification de la décision attaquée (art. 322 al. 2 et 396 al. 1 CPP). Interjeté dans le délai légal par la plaignante qui a qualité pour recourir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Basler Kommentar, Schweizerische Strafprozess- 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 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w:t>
      </w:r>
    </w:p>
    <w:p>
      <w:r>
        <w:t>- 5 -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 ATF 138 IV 86 précité, consid. 4.1.2).</w:t>
      </w:r>
    </w:p>
    <w:p>
      <w:r>
        <w:rPr>
          <w:b/>
        </w:rPr>
        <w:t>E. 2.1</w:t>
      </w:r>
    </w:p>
    <w:p>
      <w:r>
        <w:t>; TF 6B_32/2011 du 24 février 2011 consid. 1.1).</w:t>
      </w:r>
    </w:p>
    <w:p>
      <w:r>
        <w:rPr>
          <w:b/>
        </w:rPr>
        <w:t>E. 3.1</w:t>
      </w:r>
    </w:p>
    <w:p>
      <w:r>
        <w:t>La recourante soutient que, dans la mesure où elle a contesté la condamnation prononcée contre elle à la suite de la plainte déposée par S.________, il se justifiait de suspendre la procédure pour dénonciation calomnieuse jusqu'à droit connu sur son opposition ou encore mieux de joindre les deux procédures afin que celles-ci ne fassent l'objet que d'une décision. Elle fait valoir que le dossier serait incomplet et que l'ordonnance attaquée serait fondée uniquement sur ses deux plaintes et sur l'audience de conciliation du 26 octobre 2016. Elle soutient aussi que la prévenue lui aurait bloqué le passage sur la route pendant vingt minutes, ce qui ne serait pas un cas bagatelle de contrainte.</w:t>
      </w:r>
    </w:p>
    <w:p>
      <w:r>
        <w:rPr>
          <w:b/>
        </w:rPr>
        <w:t>E. 3.2.1</w:t>
      </w:r>
    </w:p>
    <w:p>
      <w:r>
        <w:t>Selon l'art. 303 ch. 1 CP, se rend coupable de dénonciation calomnieuse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L’intérêt juridiquement protégé par l’art. 303 CP est à la fois l’honneur des particuliers et l’administration de la justice (Dupuis et alii,</w:t>
      </w:r>
    </w:p>
    <w:p>
      <w:r>
        <w:t>- 6 - Petit Commentaire du Code pénal, Bâle 2012, n. 1 ad art. 303 CP). La connaissance, par l’auteur, de l’innocence de la victime recouvre la notion de connaissance de la fausseté de ses allégations sous l’angle de la calomnie (ibidem, n. 23 ad art. 303 CP). La dénonciation calomnieuse prime la calomnie (ibidem, n. 31 ad art. 303 CP). L’auteur doit savoir que la victime est innocente, comme c’est le cas pour la calomnie (ibidem, n. 23 ad art. 303 CP). Le dol éventuel est ainsi exclu (ATF 136 IV 170 consid.</w:t>
      </w:r>
    </w:p>
    <w:p>
      <w:r>
        <w:rPr>
          <w:b/>
        </w:rPr>
        <w:t>E. 3.2.2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consid. 4.1 ; ATF 129 IV 6 consid. 3.4 ;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 ATF 120 IV 17 consid. 2a/aa). Sur le plan subjectif, il faut que l'auteur ait agi avec conscience et volonté, soit au moins qu'il ait accepté l'éventualité que le procédé illicite employé entrave le destinataire dans sa liberté de décision (ATF 120 IV 17 consid. 2c ; TF 6B_38/2011 du 26 avril 2011 consid. 2.2.1).</w:t>
      </w:r>
    </w:p>
    <w:p>
      <w:r>
        <w:rPr>
          <w:b/>
        </w:rPr>
        <w:t>E. 3.3</w:t>
      </w:r>
    </w:p>
    <w:p>
      <w:r>
        <w:t>En l'espèce, le grief de la recourante selon lequel le dossier serait incomplet est infondé. En effet, le 23 novembre 2016, la recourante a versé au dossier le procès-verbal d'audition-plainte de S.________ établi le 22 mars 2016. En outre, au cours de l'audience de conciliation du 26 octobre 2016, l'intimée a montré le SMS injurieux au Procureur qui a fait inscrire son contenu au procès-verbal (PV aud. 1, lignes 33-34). De toute manière, la recourante a admis qu'elle avait envoyé ce SMS injurieux, tout en soutenant qu'elle s'était trompée de destinataire, et elle a aussi admis</w:t>
      </w:r>
    </w:p>
    <w:p>
      <w:r>
        <w:t>- 7 - avoir écrit à l'intimée que « la ferme étant familiale, il n'y avait pas de la place pour toutes les putes ». Cela suffit pour retenir que l'intimée ne peut pas être poursuivie pour dénonciation calomnieuse, les termes utilisés par la recourante étant injurieux. Quant au dépôt de plainte pour mise en danger de la vie d'autrui, que la recourante requalifie de contrainte, il résulte de la photographie produite (P. 7) que le croisement entre les deux véhicules était effectivement impossible. Cela étant, l'infraction de contrainte ne saurait être retenue parce qu'aucune des deux conductrices n'a été capable de reculer, et le fait que la recourante soit poursuivie dans une autre affaire dont la Cour de céans ignore tout n'y change rien. Quant au mouvement de mauvaise humeur de l'intimée, qui a admis qu'elle avait bloqué le chemin pendant quelques minutes, selon sa version, plus favorable et qui doit être retenue, il s'agit d'une période trop courte et sans conséquence. C'est par conséquent à bon droit que le Procureur a appliqué l'art. 52 CP (absence d'intérêt à punir) par renvoi de l'art. 8 CPP et considéré que l'incident relevait d'un cas bagatelle de contrainte pour lequel il se justifiait de renoncer à toute sanction.</w:t>
      </w:r>
    </w:p>
    <w:p>
      <w:r>
        <w:rPr>
          <w:b/>
        </w:rPr>
        <w:t>E. 4</w:t>
      </w:r>
    </w:p>
    <w:p>
      <w:r>
        <w:t>Il résulte de ce qui précède que le recours, manifestement mal fondé (art. 390 al. 2 CPP), doit être rejeté et l'ordonnance entreprise confirmée. Les frais de la procédure de recours, par 770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29 novembre 2016 est confirmée.</w:t>
      </w:r>
    </w:p>
    <w:p>
      <w:r>
        <w:t>- 8 - III. Les frais d'arrêt, par 770 fr. (sept cent septante francs), sont mis à la charge de A.X.________. IV. L’arrêt est exécutoire. Le président : La greffière : Du Le présent arrêt, dont la rédaction a été approuvée à huis clos, est notifié, par l'envoi d'une copie complète, à : - Me Kathrin Gruber, avocate (pour A.X.________), - Mme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