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PE16.011275 vom 7. August 2020</w:t>
      </w:r>
    </w:p>
    <w:p>
      <w:r>
        <w:t>VD Tribunal cantonal, 2020-08-07, FR</w:t>
      </w:r>
    </w:p>
    <w:p>
      <w:r>
        <w:rPr>
          <w:b/>
        </w:rPr>
        <w:t xml:space="preserve">Quelle: </w:t>
      </w:r>
      <w:r>
        <w:t>https://mcp.opencaselaw.ch/entscheid/vd_gerichte_PE16.011275</w:t>
      </w:r>
    </w:p>
    <w:p>
      <w:r>
        <w:t>FR: VD_GERICHTE PE16.011275 du 7 août 2020</w:t>
      </w:r>
    </w:p>
    <w:p>
      <w:r>
        <w:t>IT: VD_GERICHTE PE16.011275 del 7 agosto 2020</w:t>
      </w:r>
    </w:p>
    <w:p>
      <w:pPr>
        <w:pStyle w:val="Heading2"/>
      </w:pPr>
      <w:r>
        <w:t>Erwägungen</w:t>
      </w:r>
    </w:p>
    <w:p>
      <w:r>
        <w:rPr>
          <w:b/>
        </w:rPr>
        <w:t>E. 16</w:t>
      </w:r>
    </w:p>
    <w:p>
      <w:r>
        <w:t>janvier 2020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w:t>
      </w:r>
    </w:p>
    <w:p>
      <w:r>
        <w:t>- 7 - soupçons suffisants justifiant une mise en accusation (CREP 10 mai 2016/305 et les références citées).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ce qui est notamment le cas lorsque l’action pénale est prescrite (Moreillon/Parein-Reymond, Petit Commentaire du Code de procédure pénale, 2e éd., Bâle 2016, nn. 16 s. ad art. 319 CPP). 3. 3.1 Aux termes de l’art. 173 ch. 1 CP (Code pénal suisse du</w:t>
      </w:r>
    </w:p>
    <w:p>
      <w:r>
        <w:rPr>
          <w:b/>
        </w:rPr>
        <w:t>E. 21</w:t>
      </w:r>
    </w:p>
    <w:p>
      <w:r>
        <w:t>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w:t>
      </w:r>
    </w:p>
    <w:p>
      <w:r>
        <w:t>- 8 -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3.2 Conformément à l’art. 178 al. 1 CP, l’action pénale se prescrit par quatre ans pour les délits contre l’honneur, au lieu de sept ans pour les autres infractions punies d’une peine maximale inférieure à trois ans de privation de liberté (art. 97 al. 1 let. d CP). La raison de la réduction du délai usuel est que les atteintes à l’honneur disparaissent en général rapidement et ne laissent souvent pas de séquelles (Dupuis et al., [éd.], Petit Commentaire du Code pénal, 2e éd., Bâle 2017, n. 1 ad art. 178 CP et les références citées). Le délai de prescription court dès la commission de l’infraction (par exemple dès le dépôt de l’écrit diffamatoire à la poste ou chez son destinataire : ATF 97 IV 153 consid. 2, JdT 1973 IV 18), et non pas dès la connaissance de l’auteur, tel que cela est le cas pour le dépôt de la plainte (Dupuis et al., op. cit., n. 2 ad art. 178 CP et les références citées). 4. 4.1 Dans son mémoire de recours, la recourante ne conteste pas, à juste titre, que la prescription des infractions contre l’honneur reprochées aux prévenus soit acquise. Invoquant une violation de son droit d’être entendue, elle reproche au Ministère public d’avoir ignoré ses réquisitions de preuves des 8 février et 19 août 2019. 4.2 Le droit d'être entendu, garanti par l'art. 29 al. 2 Cst. (Constitution fédérale de la Confédération suisse du 18 avril 1999 ; RS 101) et par l'art. 3 al. 2 let. c CPP, confère notamment à toute personne le droit de s'expliquer avant qu'une décision soit prise à son détriment et celui d'obtenir qu'il soit donné suite à ses offres de preuve pertinentes, lorsque cela est de nature à influer sur la décision à rendre.</w:t>
      </w:r>
    </w:p>
    <w:p>
      <w:r>
        <w:t>- 9 -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6B_593/2016 du 27 avril 2017 consid. 5 ; Bénédict, in : Jeanneret et al. [éd.], Commentaire romand, Code de procédure pénale suisse, 2e éd., Bâle 2019, n. 23 ad art. 139 CPP).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qui serait incompatible avec l'intérêt de la partie concernée à ce que sa cause soit tranchée dans un délai raisonnable (ATF 142 II 218 consid. 2.8.1 et les références citées ; TF 6B_1251/2016 du 19 juillet 2017 consid. 3.1).</w:t>
      </w:r>
    </w:p>
    <w:p>
      <w:r>
        <w:t>- 10 - 4.3 Le grief de violation du droit d’être entendu est, en l’espèce, dénué de pertinence. En effet, le Ministère public a ordonné le classement de la procédure pénale dirigée contre les prévenus notamment au motif que la prescription de l’action pénale était acquise, ce qui n’est pas contesté par la recourante. Une annulation de l’ordonnance entreprise pour violation du droit d’être entendu n’aurait dès lors aucun sens, dans la mesure où la procédure doit de toute manière être classée en raison de la prescription (ATF 143 IV 380 consid. 1.4.1 ; TF 6B_1067/2018 du</w:t>
      </w:r>
    </w:p>
    <w:p>
      <w:r>
        <w:rPr>
          <w:b/>
        </w:rPr>
        <w:t>E. 23</w:t>
      </w:r>
    </w:p>
    <w:p>
      <w:r>
        <w:t>novembre 2018 consid. 2.1.1 ; TF 6B_510/2018 du 31 juillet 2018 consid. 2.2.1). Il s’ensuit que le recours doit être rejeté sur ce point, indépendamment de la question de savoir si le droit d’être entendu de la recourante a ou non été violé. 5. 5.1 Dans un second grief, invoquant une violation du principe de célérité, la recourante reproche au Ministère public de s’être octroyé un délai de quatre ans pour instruire ses plaintes, lesquelles portaient notamment sur des infractions contre l’honneur dont le délai de prescription est particulièrement court et dont la complexité était anecdotique. 5.2 En vertu de l'art. 29 al. 1 Cst.,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ATF 135 I 265</w:t>
      </w:r>
    </w:p>
    <w:p>
      <w:r>
        <w:t>- 11 - consid. 4.4 ; TF 6B_417/2019 du 13 septembre 2019 consid. 4.1 et la référence citée). Concrétisant ce principe, l’art. 5 al. 1 CPP impose aux autorités pénales d’engager les procédures pénales sans délai et de les mener à terme sans retard injustifié. Pour déterminer la durée du délai raisonnable au sens de l’art. 29 al. 1 Cst., il y a lieu de se fonder sur des éléments objectifs. Doivent notamment être pris en compte le degré de complexité de l'affaire, l'enjeu que revêt le litige pour l'intéressé ainsi que le comportement de ce dernier et des autorités compétentes (ATF 130 I 312 consid. 5.2 ; TF 1B_590/2012 du 13 mars 2013 consid. 3.1). Si l’autorité de recours constate un déni de justice ou un retard injustifié, elle peut donner des instructions à l’autorité concernée en lui impartissant des délais pour s’exécuter (art. 397 al. 4 CPP). 5.3 Par arrêt du 18 mars 2020 (n° 200), la Chambre des recours pénale du Tribunal cantonal a constaté un déni de justice et un retard injustifié dans l’instruction de la présente cause. Il n’y a dès lors pas lieu de revenir sur les lenteurs constatées à cette occasion, mais uniquement d’examiner si une nouvelle violation du principe de célérité, postérieure à l’arrêt précité, peut être reprochée aux autorités. En l’espèce, la Chambre des recours pénale a imparti au Ministère public un délai de quinze jours dès la notification de son arrêt du 18 mars 2020 pour rendre une décision de clôture d’enquête. Cet arrêt a été communiqué au Procureur de l’arrondissement de Lausanne le 14 avril 2020 et celui-ci a rendu l’ordonnance attaquée le 27 avril suivant. Force est dès lors de constater que le Ministère public a respecté le délai imparti, de sorte qu’aucune nouvelle violation du principe de célérité ne saurait être constatée. Le recours doit dès lors être rejeté sur ce point également.</w:t>
      </w:r>
    </w:p>
    <w:p>
      <w:r>
        <w:t>- 12 - 6. En définitive, le recours, manifestement mal fondé, doit être rejeté sans échange d’écritures (art. 390 al. 2 CPP) et l’ordonnance entreprise confirmée. Les frais de la procédure de recours, constitués en l’espèce du seul émolument d’arrêt (art. 422 al. 1 CPP),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27 avril 2020 est confirmée. III. Les frais d’arrêt, par 1’210 fr. (mille deux cent dix francs), sont mis à la charge de K.________. IV. L’arrêt est exécutoire. Le président : La greffière : Du Le présent arrêt, dont la rédaction a été approuvée à huis clos, est notifié, par l'envoi d'une copie complète, à : - Me Pascal Junod, avocat (pour K.________),</w:t>
      </w:r>
    </w:p>
    <w:p>
      <w:r>
        <w:t>- 13 - - Me Laurent Mösching, avocat (pour U.________, R.________, N.________ et C.________), - Me Philippe Loretan, avocat (pour Z.________),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