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PE16.010872 vom 21. September 2016</w:t>
      </w:r>
    </w:p>
    <w:p>
      <w:r>
        <w:t>VD Tribunal cantonal, 2016-09-21, FR</w:t>
      </w:r>
    </w:p>
    <w:p>
      <w:r>
        <w:rPr>
          <w:b/>
        </w:rPr>
        <w:t xml:space="preserve">Quelle: </w:t>
      </w:r>
      <w:r>
        <w:t>https://mcp.opencaselaw.ch/entscheid/vd_gerichte_PE16.010872</w:t>
      </w:r>
    </w:p>
    <w:p>
      <w:r>
        <w:t>FR: VD_GERICHTE PE16.010872 du 21 septembre 2016</w:t>
      </w:r>
    </w:p>
    <w:p>
      <w:r>
        <w:t>IT: VD_GERICHTE PE16.010872 del 21 settembre 2016</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2.2</w:t>
      </w:r>
    </w:p>
    <w:p>
      <w:r>
        <w:t>En l’espèce, il existe à l’évidence des soupçons suffisants de culpabilité justifiant la mise en détention provisoire de</w:t>
      </w:r>
    </w:p>
    <w:p>
      <w:r>
        <w:t>- 6 - J.________. Ce dernier a été mis en cause par ses comparses et a été surpris à une reprise en flagrant délit. Il a en outre reconnu l’essentiel des faits qui lui sont reprochés. Le recourant ne conteste du reste à juste titre pas ce point.</w:t>
      </w:r>
    </w:p>
    <w:p>
      <w:r>
        <w:rPr>
          <w:b/>
        </w:rPr>
        <w:t>E. 3.1</w:t>
      </w:r>
    </w:p>
    <w:p>
      <w:r>
        <w:t>Le Tribunal des mesures de contrainte a retenu l’existence d’un risque de réitération.</w:t>
      </w:r>
    </w:p>
    <w:p>
      <w:r>
        <w:rPr>
          <w:b/>
        </w:rPr>
        <w:t>E. 3.2</w:t>
      </w:r>
    </w:p>
    <w:p>
      <w:r>
        <w:t>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 infraction du même genre » indique que les infractions précédentes doivent être des crimes ou des délits et que l'infraction redoutée doit être similaire, sans pour autant être identique (Schmocker, op. cit., n. 18 ad. art. 221 CPP; ATF 137 IV 13 c. 3 et 4). L’ensemble des infractions contre le patrimoine pourrait par exemple constituer une catégorie (Schmocker, in : Kuhn/Jeanneret [éd.], Commentaire romand, Code de procédure pénale suisse, Bâle 2011, n. 18 ad. art. 221 CPP et la référence citée).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w:t>
      </w:r>
    </w:p>
    <w:p>
      <w:r>
        <w:t>- 7 - D’après la jurisprudence fédérale, les vols par effraction revêtent la gravité nécessaire pour menacer l’ordre public du fait que la situation peut dégénérer, car la réaction d’un cambrioleur peut être imprévisible et il n’est pas exclu qu’il s’en prenne physiquement à des tiers s’il rencontre de la résistance, pour échapper à son interpellation ou sous l’effet de la panique (TF 1B_731/2011 du 16 janvier 2012 c. 3.3). Ainsi, selon la jurisprudence de la Cour de céans, lorsqu’un prévenu est fortement soupçonné d’avoir commis plus de quarante vols dans des véhicules, dont un certain nombre avec effraction, et qu’il est susceptible d’être condamné pour vol par métier, on doit admettre qu’il compromet sérieusement la sécurité publique par l’ampleur de son activité criminelle (CREP 8 mai 2012/221 c. 2c). Le Tribunal fédéral a également retenu que si un vol à la tire d'un porte-monnaie ne constituait pas en soi un délit grave, il pouvait cependant être tenu compte du nombre important d'infractions commises et de leur fréquence pour apprécier leur gravité (TF 1B_730/2012 du 19 décembre 2012 c. 3.2).</w:t>
      </w:r>
    </w:p>
    <w:p>
      <w:r>
        <w:rPr>
          <w:b/>
        </w:rPr>
        <w:t>E. 3.3</w:t>
      </w:r>
    </w:p>
    <w:p>
      <w:r>
        <w:t>En l’espèce, si le prévenu a un parcours de vie difficile comme il le relève lui-même dans ses écritures, sa situation actuelle est très inquiétante. Il est livré à lui-même et ne respecte pas les mesures de substitution ordonnées, abuse de l’alcool et consomme des stupéfiants. Démuni, il a même approché un dealer en lui proposant de vendre de la marchandise pour lui. A cela s’ajoute qu’il a commis un nombre impressionnant de délits contre le patrimoine et aurait probablement continué s’il n’avait pas été interpellé le 14 juin dernier, étant précisé qu’une grande partie des infractions commises l’a été après une première interpellation policière. Ces actes de vandalisme, nombreux, accompagnés de vols, ont été perpétrés, selon les dires du recourant, pour se défouler, soit sans raison apparente. Certes, ces infractions ont été commises avec deux comparses, qui sont maintenant détenus. Il n’en demeure pas moins que les dégâts découlant des infractions commises se montent à plusieurs dizaines de milliers de francs, ce qui n’est pas négligeable. Enfin, le Ministère public avait, le 4 août 2016, formellement mis en garde le recourant qu’en cas de nouveaux manquements aux mesures de substitution ordonnées, il solliciterait son placement en</w:t>
      </w:r>
    </w:p>
    <w:p>
      <w:r>
        <w:t>- 8 - détention provisoire. Faisant fi de cet avertissement, J.________ a persisté dans ses agissements.</w:t>
      </w:r>
    </w:p>
    <w:p>
      <w:r>
        <w:rPr>
          <w:b/>
        </w:rPr>
        <w:t>E. 4.1</w:t>
      </w:r>
    </w:p>
    <w:p>
      <w:r>
        <w:t>Le 17 juin 2016, le Tribunal des mesures de contrainte a ordonné en lieu et place de la détention provisoire des mesures de substitution, estimant que le risque de réitération constaté pouvait être contenu par de telles mesures (cf. consid. Ac supra). Ces mesures ont toutefois été révoquées dans la décision attaquée.</w:t>
      </w:r>
    </w:p>
    <w:p>
      <w:r>
        <w:rPr>
          <w:b/>
        </w:rPr>
        <w:t>E. 4.2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consid.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w:t>
      </w:r>
    </w:p>
    <w:p>
      <w:r>
        <w:t>- 9 -</w:t>
      </w:r>
    </w:p>
    <w:p>
      <w:r>
        <w:rPr>
          <w:b/>
        </w:rPr>
        <w:t>E. 4.3</w:t>
      </w:r>
    </w:p>
    <w:p>
      <w:r>
        <w:t>En l’espèce, comme l’a relevé l’autorité intimée, force est en premier lieu de constater que J.________ ne fréquente plus qu’occasionnellement le Foyer des Lys et qu’il consomme quotidiennement de la marijuana. Renseigné par le Centre du Levant sur les nombreux manquements du prénommé, le Ministère public n’a pas immédiatement requis sa mise en détention provisoire mais lui a d’abord, le 4 août 2016, adressé un avertissement formel tout en le menaçant de mettre un terme aux mesures de substitution ordonnées et de proposer son placement immédiat en détention provisoire s’il devait persister dans ses agissements. Cet avertissement, n’a pas eu les effets escomptés. Il est ainsi manifeste que l’intéressé n’a pas respecté les conditions assortissant les mesures de substitution ordonnées en sa faveur et que ces mesures ne sont dès lors plus suffisantes pour pallier le risque de réitération constaté précédemment. Compte tenu de ce qui précède, il y a lieu de constater l’échec des mesures de substitution. L’intérêt public à la sécurité doit en l’espèce l’emporter sur l’intérêt personnel du recourant à rester en liberté et c’est à juste titre que le Tribunal des mesures de contrainte les a révoquées et a ordonné le placement en détention provisoire de J.________, aucune autre mesure de substitution n’étant à même de parer efficacement au risque de réitération retenu.</w:t>
      </w:r>
    </w:p>
    <w:p>
      <w:r>
        <w:rPr>
          <w:b/>
        </w:rPr>
        <w:t>E. 5</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t>- 10 - En l’occurrence, comme le relève le Tribunal des mesures de contrainte, l’enquête arrive à son terme et le rapport final de la police de sûreté a été rendu le 5 septembre 2016. Toutefois, le Ministère public envisage la mise en œuvre d’une expertise psychiatrique, ce qui, vu la situation personnelle du recourant, semble indispensable. Dans cette hypothèse, les conclusions d’une telle expertise ne pourraient être connues avant plusieurs semaines, dans le meilleur des cas. A cela s’ajoute encore le temps que prendra la prochaine clôture du dossier, le nombre de plaignants étant considérable. Le délai de trois mois apparaît à cet égard réaliste. Il est également proportionné sous l’angle de la peine encourue.</w:t>
      </w:r>
    </w:p>
    <w:p>
      <w:r>
        <w:rPr>
          <w:b/>
        </w:rPr>
        <w:t>E. 6</w:t>
      </w:r>
    </w:p>
    <w:p>
      <w:r>
        <w:t>Il résulte de ce qui précède que le recours, manifestement mal fondé, doit être rejeté, sans autre échanges d’écritures (art. 390 al. 2 CPP), et l’ordonnance du 9 septembre 2016 confirmée. Les frais de la procédure de recours, constitués en l'espèce de l'émolument d'arrêt (art. 422 al. 1 CPP), par 1’100 fr. (art. 20 al. 1 TFIP [Tarif des frais de procédure et indemnités en matière pénale du 28 septembre 2010 ; RSV 312.03.1]), et des frais imputables à la défense d'office (art. 422 al. 1 et 2 let. a CPP), fixés à 720 fr., plus la TVA par 57 fr. 60, soit à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- 11 - Par ces motifs, la Chambre des recours pénale prononce : I. Le recours est rejeté. II. L’ordonnance du 9 septembre 2016 est confirmée. III. L’indemnité allouée au défenseur d’office de J.________ est fixée à 777 fr. 60 (sept cent septante-sept francs et soixante centimes). IV. Les frais d’arrêt, par 1’100 fr. (mille cent francs), ainsi que l’indemnité due au défenseur d’office de J.________, par 777 fr. 60 (sept cent septante-sept francs et soixante centimes), sont mis à la charge de ce dernier. V. Le remboursement à l'Etat de l'indemnité allouée au chiffre III ci-dessus ne sera exigible que pour autant que la situation économique de J.________ se soit améliorée VI. L’arrêt est exécutoire. Le président : La greffière : Du Le présent arrêt, dont la rédaction a été approuvée à huis clos, est notifié, par l'envoi d'une copie complète, à : - Me Mathias Keller, avocat (pour J.________),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w:t>
      </w:r>
    </w:p>
    <w:p>
      <w:r>
        <w:t>- 12 - 2005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