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PE16.010418 vom 23. Juni 2017</w:t>
      </w:r>
    </w:p>
    <w:p>
      <w:r>
        <w:t>VD Tribunal cantonal, 2017-06-23, FR</w:t>
      </w:r>
    </w:p>
    <w:p>
      <w:r>
        <w:rPr>
          <w:b/>
        </w:rPr>
        <w:t xml:space="preserve">Quelle: </w:t>
      </w:r>
      <w:r>
        <w:t>https://mcp.opencaselaw.ch/entscheid/vd_gerichte_PE16.010418</w:t>
      </w:r>
    </w:p>
    <w:p>
      <w:r>
        <w:t>FR: VD_GERICHTE PE16.010418 du 23 juin 2017</w:t>
      </w:r>
    </w:p>
    <w:p>
      <w:r>
        <w:t>IT: VD_GERICHTE PE16.010418 del 23 giugno 2017</w:t>
      </w:r>
    </w:p>
    <w:p>
      <w:pPr>
        <w:pStyle w:val="Heading2"/>
      </w:pPr>
      <w:r>
        <w:t>Erwägungen</w:t>
      </w:r>
    </w:p>
    <w:p>
      <w:r>
        <w:rPr>
          <w:b/>
        </w:rPr>
        <w:t>E. 1</w:t>
      </w:r>
    </w:p>
    <w:p>
      <w:r>
        <w:t>CPP). L’ordonnance a été reçue par son destinataire le mercredi 12 avril 2017 selon l’allégué crédible de la partie. Interjeté dès lors dans le délai légal, et satisfaisant de surcroît aux conditions de forme posées par la loi (art. 385 al. 1 CPP), le recours est recevable. Lorsque, comme en l’espèce, le recours porte uniquement sur les conséquences économiques accessoires d'une décision et que le</w:t>
      </w:r>
    </w:p>
    <w:p>
      <w:r>
        <w:t>- 4 - montant litigieux (2’362 fr. 50 selon la liste d’opérations produite, même si le recours ne comporte pas de conclusions chiffrées) ne dépasse pas 5'000 fr., un juge de la Cour de céans statue comme juge unique (art. 395 let. b CPP et 13 al. 2 LVCPP).</w:t>
      </w:r>
    </w:p>
    <w:p>
      <w:r>
        <w:rPr>
          <w:b/>
        </w:rPr>
        <w:t>E. 2.1</w:t>
      </w:r>
    </w:p>
    <w:p>
      <w:r>
        <w:t>Le recourant conclut à l’allocation d’une indemnité pour les dépenses occasionnées par l'exercice raisonnable de ses droits de procédure, soit au titre des honoraires et débours de son défenseur de choix, dont il tient l’intervention pour justifiée.</w:t>
      </w:r>
    </w:p>
    <w:p>
      <w:r>
        <w:rPr>
          <w:b/>
        </w:rPr>
        <w:t>E. 2.2.1</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(ATF 139 IV 241 consid. 1; ATF 138 IV 205 consid. 1). L’allocation d’une telle indemnité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ainsi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JdT 2013 IV 184; JdT 2016 III 178). Concernant un délit ou un crime, ce n’est qu’exceptionnellement que</w:t>
      </w:r>
    </w:p>
    <w:p>
      <w:r>
        <w:t>- 5 - l’assistance d’un avocat peut être considérée comme ne constituant pas un exercice raisonnable des droits de la défense. Tel pourrait par exemple être le cas lorsque la procédure fait immédiatement l’objet d’un classement après une première audition (ATF 138 IV 197 consid. 2.3.5; TF 6B_403/2015 du 25 février 2016 consid. 2.1).</w:t>
      </w:r>
    </w:p>
    <w:p>
      <w:r>
        <w:rPr>
          <w:b/>
        </w:rPr>
        <w:t>E. 2.2.2</w:t>
      </w:r>
    </w:p>
    <w:p>
      <w:r>
        <w:t>Aux termes de l'art. 26a TFIP (Tarif des frais de procédure et indemnités en matière pénale du 28 septembre 2010; RSV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1re phrase). Il convient, selon la jurisprudence, de retrancher toutes les réceptions de mémos et de lettres qui n'impliquent qu'une lecture cursive et brève (CREP 11 mai 2016/310 consid. 3.4.1; CREC 12 juillet 2016/271 consid. 3.2).</w:t>
      </w:r>
    </w:p>
    <w:p>
      <w:r>
        <w:rPr>
          <w:b/>
        </w:rPr>
        <w:t>E. 2.3</w:t>
      </w:r>
    </w:p>
    <w:p>
      <w:r>
        <w:t>En l’espèce, la procédure pénale ouverte contre le recourant trouve son origine dans un litige portant sur la résiliation d’un bal commercial et sur l’indemnité y relative. Le plaignant est avocat de métier et était assisté d’un confrère avant le dépôt de sa plainte déjà. Pour sa part, le prévenu, commerçant bijoutier, doit être réputé moins au fait de telles procédures que sa partie adverse, faute de disposer de connaissances juridiques particulières. La portée civile qu’était susceptible de revêtir la procédure pénale était importante. On peut donc admettre, au vu du litige et de ses protagonistes, ainsi que de l’ensemble des éléments spécifiques du</w:t>
      </w:r>
    </w:p>
    <w:p>
      <w:r>
        <w:t>- 6 - complexe de faits litigieux, que l’affaire n’était pas simple au sens de la jurisprudence. En outre, l’infraction présentait un certain degré de gravité, s’agissant d’un délit (art. 181 CP [Code pénal; RS 311.0], au stade de la tentative selon l’art. 22 CP). Dans ces circonstances, on ne saurait nier le caractère raisonnable du recours à un avocat, s’agissant d’un plaideur dépourvu de connaissances juridiques (cf. à ce sujet, s’agissant également d’une plainte pour tentative de contrainte en relation avec un litige de droit du bail, CREP 4 mai 2016/286). Une indemnité est donc due selon l'art. 429 al. 1 let. a CPP.</w:t>
      </w:r>
    </w:p>
    <w:p>
      <w:r>
        <w:rPr>
          <w:b/>
        </w:rPr>
        <w:t>E. 2.4</w:t>
      </w:r>
    </w:p>
    <w:p>
      <w:r>
        <w:t>Cela étant, il reste à fixer la quotité de l’indemnité allouée pour les dépenses occasionnées par l'exercice raisonnable de ses droits de procédure par le prévenu. Sur la base de la liste produite, il a y lieu de retrancher les opérations inutiles ou qui ne donnent pas lieu à indemnisation. Cela étant, les différents postes à réduire doivent être examinés séparément, dans l’ordre de la liste d’opérations (P. 15/4), comme iI suit : - 6 minutes au titre de réception d’un pli (22 juin 2016); - 9 minutes au titre de réception d’une citation à comparaitre (7 juillet 2016); - 6 minutes au titre de réception d’un pli (21 novembre 2016); - 6 minutes au titre de réception d’un pli (29 novembre 2016); - une heure (déduite de deux heures et 15 minutes) en relation avec l’audience du 15 août 2016, la vacation du défenseur depuis son étude lausannoise n’ayant pas à être rémunérée séparément au titre de la durée d’activité du mandataire. A cette diminution à raison d’un total d’une heure et 27 minutes, il y a lieu d’opposer les opérations postérieures à l’établissement de la liste, à savoir une lettre au Ministère public du 7 décembre 2016 (P. 17). Malgré sa brièveté, ce procédé a impliqué l’examen de certaines pièces en relation avec une procédure ayant opposé les parties devant la</w:t>
      </w:r>
    </w:p>
    <w:p>
      <w:r>
        <w:t>- 7 - Cour des poursuites et faillites du Tribunal cantonal. Il est au surplus précisé que l’envoi au Procureur d’une copie de l’acte de recours (P. 18/1) ne saurait être indemnisé. L’un dans l’autre, la durée d’activité de six heures et 45 minutes doit être ramenée à six heures. Le tarif horaire à retenir doit être de 300 fr., le tarif de 350 fr. réclamé n’étant pas justifié par le degré de difficulté de l’affaire. Quant au reste, les débours doivent être alloués séparément, à hauteur de 100 fr. pour toutes choses. Le juge de céans relève à cet égard que des débours de 50 fr. au seul titre des frais d’ouverture du dossier (20 juin 2016) n’apparaissent pas davantage justifiés, pas plus que ne le serait, au demeurant, une durée d’activité spécifiquement afférente à un tel poste (cf. CREP 23 février 2017/136 consid. 2.4).</w:t>
      </w:r>
    </w:p>
    <w:p>
      <w:r>
        <w:rPr>
          <w:b/>
        </w:rPr>
        <w:t>E. 2.5</w:t>
      </w:r>
    </w:p>
    <w:p>
      <w:r>
        <w:t>C’est donc une indemnité de 1’900 fr., ainsi qu’un montant de 152 fr. correspondant à la TVA, qui sera allouée au recourant, à la charge de l’Etat, au titre de l'exercice raisonnable de ses droits de procédure durant l’enquête.</w:t>
      </w:r>
    </w:p>
    <w:p>
      <w:r>
        <w:rPr>
          <w:b/>
        </w:rPr>
        <w:t>E. 3</w:t>
      </w:r>
    </w:p>
    <w:p>
      <w:r>
        <w:t>Il résulte de ce qui précède que le recours doit être admis et l'ordonnance de classement réformée à son chiffre II dans le sens exposé ci-dessus. L'ordonnance sera maintenue pour le surplus. Le recourant, qui a obtenu gain de cause en ayant procédé avec l'assistance d'un représentant professionnel, a droit à une indemnité pour les dépenses occasionnées par l'exercice raisonnable de ses droits pour la procédure de recours (art. 429 al. 1 let. a CPP). Au vu de la nature et de la relative simplicité de la cause devant l'autorité de recours, ainsi que du mémoire produit, c’est une indemnité de 600 fr., représentant deux heures d'activité d'avocat à 300 fr. l’heure, ainsi qu’un montant de 48 fr. correspondant à la TVA, qui sera allouée au recourant, à la charge de l’Etat.</w:t>
      </w:r>
    </w:p>
    <w:p>
      <w:r>
        <w:t>- 8 - Les frais de la procédure de recours, constitués en l'espèce de l'émolument d’arrêt, par 630 fr. (art. 20 al. 1 TFIP), seront laissés à la charge de l’Etat (art. 423 al. 1 CPP). Par ces motifs, le Juge unique prononce : I. Le recours est admis. II. L’ordonnance est réformée à son chiffre II comme il suit : II. alloue à Q.________ une indemnité au sens de l’art. 429 al. 1 let. a CPP d’un montant de 2’052 fr. (deux mille cinquante-deux francs), à la charge de l’Etat. L’ordonnance est confirmée pour le surplus. III. Les frais d’arrêt, par 630 fr. (six cent trente francs), sont laissés à la charge de l’Etat. IV. Une indemnité de 648 fr. (six cent quarante-huit francs) est allouée à Q.________ pour la procédure de recours, à la charge de l’Etat. V. L’arrêt est exécutoire. Le juge unique : Le greffier : Du Le présent arrêt, dont la rédaction a été approuvée à huis clos, est notifié, par l'envoi d'une copie complète, à : - Me César Montalto, avocat (pour Q.________), - Ministère public central, et communiqué à :</w:t>
      </w:r>
    </w:p>
    <w:p>
      <w:r>
        <w:t>- 9 -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