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PE16.010400 vom 23. Mai 2017</w:t>
      </w:r>
    </w:p>
    <w:p>
      <w:r>
        <w:t>VD Tribunal cantonal, 2017-05-23, FR</w:t>
      </w:r>
    </w:p>
    <w:p>
      <w:r>
        <w:rPr>
          <w:b/>
        </w:rPr>
        <w:t xml:space="preserve">Quelle: </w:t>
      </w:r>
      <w:r>
        <w:t>https://mcp.opencaselaw.ch/entscheid/vd_gerichte_PE16.010400</w:t>
      </w:r>
    </w:p>
    <w:p>
      <w:r>
        <w:t>FR: VD_GERICHTE PE16.010400 du 23 mai 2017</w:t>
      </w:r>
    </w:p>
    <w:p>
      <w:r>
        <w:t>IT: VD_GERICHTE PE16.010400 del 23 maggio 2017</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w:t>
      </w:r>
    </w:p>
    <w:p>
      <w:r>
        <w:t>- 3 - susceptible de recours selon les art. 393 ss CPP (Gilliéron/Killias, Commentaire romand, Code de procédure pénale suisse, Bâle 2011, n. 5 ad art. 356 CPP ; Riklin, Basler Kommentar, Schweizerische Strafprozess- 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septembre 1979 ; RSV 173.01]).</w:t>
      </w:r>
    </w:p>
    <w:p>
      <w:r>
        <w:rPr>
          <w:b/>
        </w:rPr>
        <w:t>E. 1.2</w:t>
      </w:r>
    </w:p>
    <w:p>
      <w:r>
        <w:t>En l'espèce, interjeté en temps utile devant l’autorité compétente par la prévenue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- 4 -</w:t>
      </w:r>
    </w:p>
    <w:p>
      <w:r>
        <w:rPr>
          <w:b/>
        </w:rPr>
        <w:t>E. 2.2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TF 6B_314/2012 du 18 février 2013 consid. 1.2 ; cf. ATF 130 III 396 consid. 1.2.3).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 TF 6B_158/2012 du 27 juillet 2012 consid 2.1 ; Schmid, Schweizerische Strafprozessordnung, Praxiskommentar, 2e éd., 2013, n. 9 ad art. 85 CPP ; Moreillon/Parein-Reymond, Petit Commentaire du Code de procédure pénale, 2e éd., Bâle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w:t>
      </w:r>
    </w:p>
    <w:p>
      <w:r>
        <w:t>- 5 -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 citées ; TF 6B_704/2015 du 16 février 2016 consid. 2.3).</w:t>
      </w:r>
    </w:p>
    <w:p>
      <w:r>
        <w:rPr>
          <w:b/>
        </w:rPr>
        <w:t>E. 2.3</w:t>
      </w:r>
    </w:p>
    <w:p>
      <w:r>
        <w:t>En l'espèce, la recourante n'a pas retiré, dans le délai postal de garde qui arrivait à échéance le 1er février 2017, le pli recommandé contenant l'ordonnance pénale litigieuse qui lui a été envoyé à l’adresse de son domicile, adresse qu’elle avait elle-même communiquée à la police lors de son interpellation au mois de mai 2016. Pour le surplus, la recourante savait qu'elle faisait l'objet d'une procédure pénale puisqu'elle avait été entendue en qualité de prévenue le 23 mai 2016 et informée de ses droits et obligations (P. 4). Elle devait donc faire en sorte qu'une éventuelle décision puisse lui être notifiée. Le fait qu’elle ait été à l’étranger lors de la notification de l’ordonnance pénale n’est donc pas relevant ; conformément à la jurisprudence, il lui appartenait de prendre ses dispositions en cas d’absence prolongée de son domicile. En conséquence, la fiction de notification de l'art. 85 al. 4 let. a CPP s'applique et l’ordonnance pénale du 24 janvier 2017 est réputée avoir été valablement notifiée à l’issue du délai de garde, soit le 1er février 2017. Le délai de dix jours pour former opposition est donc arrivé à échéance le lundi 13 février 2017 (cf. art. 90 al. 2 CPP). Remise à un office de poste le 20 avril 2017, l’opposition d’E.________ est donc manifestement tardive au regard de l’art. 354 al. 1 CPP et c’est donc à bon droit que le tribunal de police l’a déclarée irrecevable.</w:t>
      </w:r>
    </w:p>
    <w:p>
      <w:r>
        <w:t>- 6 -</w:t>
      </w:r>
    </w:p>
    <w:p>
      <w:r>
        <w:rPr>
          <w:b/>
        </w:rPr>
        <w:t>E. 3</w:t>
      </w:r>
    </w:p>
    <w:p>
      <w:r>
        <w:t>Il s'ensuit que le recours, manifestement mal fondé, doit être rejeté sans autre échange d’écritures (art. 390 al. 2 CPP) et le prononcé entrepris confirmé. Les frais de la procédure de recours,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8 mai 2017 est confirmé. III. Les frais d'arrêt, par 660 fr. (six cent soixante francs), sont mis à la charge de la recourante. IV. L’arrêt est exécutoire. Le président : La greffière : Du Le présent arrêt, dont la rédaction a été approuvée à huis clos, est notifié, par l'envoi d'une copie complète, à : - Mme E.________, - Ministère public central,</w:t>
      </w:r>
    </w:p>
    <w:p>
      <w:r>
        <w:t>- 7 - et communiqué à : - M. le Procureur de l'arrondissement du Nord vaudois, - M. le Président du Tribunal de police de l'arrondissement de la Broye et du Nord vaudois,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