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PE16.010247 vom 16. August 2016</w:t>
      </w:r>
    </w:p>
    <w:p>
      <w:r>
        <w:t>VD Tribunal cantonal, 2016-08-16, FR</w:t>
      </w:r>
    </w:p>
    <w:p>
      <w:r>
        <w:rPr>
          <w:b/>
        </w:rPr>
        <w:t xml:space="preserve">Quelle: </w:t>
      </w:r>
      <w:r>
        <w:t>https://mcp.opencaselaw.ch/entscheid/vd_gerichte_PE16.010247</w:t>
      </w:r>
    </w:p>
    <w:p>
      <w:r>
        <w:t>FR: VD_GERICHTE PE16.010247 du 16 août 2016</w:t>
      </w:r>
    </w:p>
    <w:p>
      <w:r>
        <w:t>IT: VD_GERICHTE PE16.010247 del 16 agosto 2016</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w:t>
      </w:r>
    </w:p>
    <w:p>
      <w:r>
        <w:t>- 3 -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2.1</w:t>
      </w:r>
    </w:p>
    <w:p>
      <w:r>
        <w:t>La recourante invoque la violation des art. 126 CP et 310 al. 1 let. a CPP ainsi que l’inapplicabilité de l’art. 14 CP. Elle fait également valoir une violation de son droit d’être entendu au motif qu’elle aurait dû « pourparler » durant deux semaines avec la police avant qu’un inspecteur soit d’accord de verbaliser sa plainte. Sa déposition n’aurait en outre été que partiellement retranscrite.</w:t>
      </w:r>
    </w:p>
    <w:p>
      <w:r>
        <w:rPr>
          <w:b/>
        </w:rPr>
        <w:t>E. 2.2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w:t>
      </w:r>
    </w:p>
    <w:p>
      <w:r>
        <w:t>- 4 -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2.3.1</w:t>
      </w:r>
    </w:p>
    <w:p>
      <w:r>
        <w:t>Aux termes de l'art. 126 al. 1 CP (Code pénal suisse du 21 décembre 1937 ; RS 311.0), celui qui se sera livré sur une personne à des voies de fait qui n'auront causé ni lésion corporelle ni atteinte à la santé sera, sur plainte, puni d'une amende. L'art. 126 CP réprime les voies de fait infligées à autrui. Il incrimine donc l'adoption d'un comportement dénotant un certain degré d'agressivité et de violence, qui induit une atteinte à l'intégrité de faible intensité. D'après la jurisprudence, la notion de voies de fait caractérise les atteintes physiques qui excèdent ce qui est socialement toléré et qui ne causent ni lésions corporelles, ni dommage à la santé, voire même aucune douleur physique (ATF 134 IV 189 consid. 1.2; Dupuis et al., Petit commentaire du Code pénal, Bâle 2016, nn. 3 ss ad art. 126 CP et les réf. cit.).</w:t>
      </w:r>
    </w:p>
    <w:p>
      <w:r>
        <w:rPr>
          <w:b/>
        </w:rPr>
        <w:t>E. 2.3.2</w:t>
      </w:r>
    </w:p>
    <w:p>
      <w:r>
        <w:t>Conformément à l'art. 14 CP, quiconque agit comme la loi l'ordonne ou l'autorise se comporte de manière licite, même si l'acte est punissable en vertu du Code pénal ou d'une autre loi. E.________ La reconnaissance d’un droit de correction, en tant que fait justificatif, que les parents, les enseignants ou des tiers pourraient faire valoir face à des voies de faits est controversée. Le Tribunal fédéral, qui a laissé la question ouverte de savoir si un tel droit subsistait, a souligné la réprobation dont faisait l’objet toute forme de traitement violent ou dégradant à l’égard des enfants (ATF 129 IV 216 consid. 2.2, Dupuis et al., op. cit., n. 9 ad art. 126 CP). S’agissant de l’admission d’un droit de correction au bénéfice de l’enseignant, le Tribunal fédéral a considéré qu’il postulerait en tous les</w:t>
      </w:r>
    </w:p>
    <w:p>
      <w:r>
        <w:t>- 5 - cas une base légale au sens formelle (ATF 117 IV 14, JdT 1993 IV 37). Or, selon la doctrine, une telle disposition serait contraire au droit fédéral et au droit conventionnel, si bien que le droit de correction paraît en réalité exclu dans ce contexte. (Dupuis et al., op cit n. 10 ad art. 126 CP et les réf. citées). Les enseignants peuvent néanmoins invoquer, le cas échéant, d’autres faits justificatifs tels que la légitime défense (ATF 117 IV 14, JdT 1993 IV 37).</w:t>
      </w:r>
    </w:p>
    <w:p>
      <w:r>
        <w:rPr>
          <w:b/>
        </w:rPr>
        <w:t>E. 2.4</w:t>
      </w:r>
    </w:p>
    <w:p>
      <w:r>
        <w:t>En l’espèce, il ressort du constat médical établi le 13 mai 2016 par les urgences de pédiatrie du CHUV (P. 4/3/1) qu’E.________ présentait trois dermabarasions au bras gauche et ce, quelques jours après l'altercation avec son enseignant. Ce constat est de nature à corroborer la version de l’enfant et mettre en cause R.________ pour les faits reprochés. Il ressort par ailleurs des déclarations de la mère d’E.________ que des « problèmes » entre R.________ et son fils existeraient depuis deux ans, l’enseignant se mettant rapidement en colère contre lui (PV aud. 1, p. 2). Force est donc de constater, au vu des faits décrits, qu’il existe en l’état des indices suffisants permettant de mettre en cause R.________ pour des voies de fait. A ce stade de la procédure, aucun élément ne permet de retenir que le prévenu puisse se prévaloir d’un fait justificatif légal. Il apparaît en particulier que, contrairement à ce que soutient le Procureur, l’art. 116 al. 1 LEO ne doit pas être interprété comme une norme permettant aux enseignants d’utiliser la force physique contre un élève pour défendre un autre, mais bien plutôt comme une norme réprimant les actes de violences contre n’importe quel enfant. Seule l’ouverture d’une enquête pénale permettra au Procureur de déterminer si les éléments susmentionnés sont bel et bien constitutifs d’une infraction et, le cas échéant, si l’enseignant était légitimé à adopter un tel comportement.</w:t>
      </w:r>
    </w:p>
    <w:p>
      <w:r>
        <w:rPr>
          <w:b/>
        </w:rPr>
        <w:t>E. 3.1</w:t>
      </w:r>
    </w:p>
    <w:p>
      <w:r>
        <w:t>Sur le vu de ce qui précède, le recours doit être admis, l’ordonnance attaquée annulée et le dossier de la cause renvoyé au Ministère public de l’arrondissement de Lausanne afin qu’il ouvre une instruction.</w:t>
      </w:r>
    </w:p>
    <w:p>
      <w:r>
        <w:t>- 6 - L’issue du recours rend le grief relatif à la violation du droit d’être entendu en relation avec les circonstances du dépôt de plainte sans objet.</w:t>
      </w:r>
    </w:p>
    <w:p>
      <w:r>
        <w:rPr>
          <w:b/>
        </w:rPr>
        <w:t>E. 3.2</w:t>
      </w:r>
    </w:p>
    <w:p>
      <w:r>
        <w:t>Les frais de la procédure de recours, constitués en l'espèce du seul émolument d'arrêt, par 660 fr. (art. 20 al. 1 TFIP [tarif des frais judiciaires de procédure et indemnités en matière pénale du 28 septembre 2010; RSV 312.03.1]), seront laissés à la charge de l’Etat (art. 423 al. 1 CPP). S’agissant des dépens réclamés par la recourante, il appartiendra à cette dernière d’adresser à la fin de la procédure ses prétentions à l’autorité pénale compétente selon l’art. 433 al. 2 CPP (CREP 16 avril 2013/279 consid. 4 et les références citées). Par ces motifs, la Chambre des recours pénale prononce : I. Le recours est admis. II. L’ordonnance du 13 juin 2016 est annulée. III. Le dossier de la cause est renvoyé au Ministère public de l’arrondissement de Lausanne pour instruction dans le sens des considérants. IV. Les frais de la procédure de recours, par 660 fr. (six cent soixante francs), sont laissés à la charge de l’Etat. V. L’arrêt est exécutoire. Le président : La greffière :</w:t>
      </w:r>
    </w:p>
    <w:p>
      <w:r>
        <w:t>- 7 - Du Le présent arrêt, dont la rédaction a été approuvée à huis clos, est notifié, par l'envoi d'une copie complète, à : - Me David Abikzer, avocat (pour O.________),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