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PE16.010159 vom 12. Oktober 2016</w:t>
      </w:r>
    </w:p>
    <w:p>
      <w:r>
        <w:t>VD Tribunal cantonal, 2016-10-12, FR</w:t>
      </w:r>
    </w:p>
    <w:p>
      <w:r>
        <w:rPr>
          <w:b/>
        </w:rPr>
        <w:t xml:space="preserve">Quelle: </w:t>
      </w:r>
      <w:r>
        <w:t>https://mcp.opencaselaw.ch/entscheid/vd_gerichte_PE16.010159</w:t>
      </w:r>
    </w:p>
    <w:p>
      <w:r>
        <w:t>FR: VD_GERICHTE PE16.010159 du 12 octobre 2016</w:t>
      </w:r>
    </w:p>
    <w:p>
      <w:r>
        <w:t>IT: VD_GERICHTE PE16.010159 del 12 ottobre 2016</w:t>
      </w:r>
    </w:p>
    <w:p>
      <w:pPr>
        <w:pStyle w:val="Heading2"/>
      </w:pPr>
      <w:r>
        <w:t>Erwägungen</w:t>
      </w:r>
    </w:p>
    <w:p>
      <w:r>
        <w:rPr>
          <w:b/>
        </w:rPr>
        <w:t>E. 1</w:t>
      </w:r>
    </w:p>
    <w:p>
      <w:r>
        <w:t>Interjeté en temps utile (art. 322 al. 2 CPP [Code de procédure pénale suisse du 5 octobre 2007 ; RS 312.0]) contre une ordonnance de classement du ministère public (art. 319 et 393 al. 1 let. a CPP), par la partie plaignante qui a qualité pour recourir (art. 382 al. 1 CPP), le recours est recevable.</w:t>
      </w:r>
    </w:p>
    <w:p>
      <w:r>
        <w:rPr>
          <w:b/>
        </w:rPr>
        <w:t>E. 2</w:t>
      </w:r>
    </w:p>
    <w:p>
      <w:r>
        <w:t>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2014, n. 8 ad art. 319 CPP, p. 2476),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p. 2477). Conformément à l’art. 319 al. 1 let. d CPP, la procédure doit également être classée lorsqu’il est établi que certaines conditions à l’ouverture de l’action pénale ne peuvent pas être remplies ou que des</w:t>
      </w:r>
    </w:p>
    <w:p>
      <w:r>
        <w:t>- 4 - empêchements de procéder sont apparus. Ces empêchements doivent être définitifs et il doit être certain que les conditions à l’ouverture de l’action pénale ne pourront jamais être remplies. On citera, à titre d’exemple, la mort du prévenu (TF 6B_471/2015 du 27 juillet 2015 consid. 3.2.1), le retrait de la plainte pénale, l’absence d’autorisation à poursuivre, l’amnistie, l’immunité absolue ou la prescription de l’action pénale (Dupuis et al., Petit Commentaire du Code pénal, Bâle 2012, n. 16 ad art. 319 CPP et les références citées).</w:t>
      </w:r>
    </w:p>
    <w:p>
      <w:r>
        <w:rPr>
          <w:b/>
        </w:rPr>
        <w:t>E. 3.1</w:t>
      </w:r>
    </w:p>
    <w:p>
      <w:r>
        <w:t>Aux termes de l’art. 33 al. 1 CP, l’ayant droit peut retirer sa plainte tant que le jugement de deuxième instance cantonale n’a pas été prononcé. Le Tribunal fédéral a estimé que la volonté interne de retirer la plainte ne suffisait pas et a exigé une manifestation de la volonté de retrait exprimée de manière non équivoque (ATF 89 IV 57 consid. 3a, JdT 1963 IV 66).</w:t>
      </w:r>
    </w:p>
    <w:p>
      <w:r>
        <w:rPr>
          <w:b/>
        </w:rPr>
        <w:t>E. 3.2</w:t>
      </w:r>
    </w:p>
    <w:p>
      <w:r>
        <w:t>En l'espèce, F.________ reproche à M.________ d'avoir tenu à son encontre des propos diffamatoires au sens de l'art. 173 CP. Cette infraction ne se poursuit que sur plainte (art. 173 al. 1 CP). Lors de l’audience de conciliation, F.________ s’est engagé à retirer sa plainte dès le moment où M.________ aurait rencontré MM. [...], [...] et [...] et aurait levé tout malentendu au sujet de son activité d’apiculteur. S’il ressort clairement du dossier que M.________ a rencontré les trois personnes qu’il s’était engagé à contacter, le résultat attendu de ces rencontres n’est quant à lui pas limpide. Il semble ainsi prématuré de considérer que les conditions au retrait de la plainte sont réalisées. De toute manière, le libellé de la convention stipule que F.________ retirera sa plainte lorsque M.________ aura adopté le comportement attendu. Cela signifie que même si l’on considère que le prévenu a satisfait à ses obligations, ce que le plaignant conteste, il faut encore que l’intéressé retire formellement sa plainte pénale pour qu’une ordonnance de classement soit rendue pour ce motif. Dès lors que</w:t>
      </w:r>
    </w:p>
    <w:p>
      <w:r>
        <w:t>- 5 - F.________ a expressément indiqué qu’il ne retirait pas sa plainte car il considérait que le prévenu n’avait pas levé le malentendu et n’avait pas reconnu ses torts, l’instruction ne peut être purement et simplement classée en raison de la réalisation, contestée, des conditions de retrait de plainte. Partant, les conditions au retrait de la plainte n’étant pas réalisées et le plaignant n’ayant pas retiré expressément sa plainte, il convient de reprendre l’instruction.</w:t>
      </w:r>
    </w:p>
    <w:p>
      <w:r>
        <w:rPr>
          <w:b/>
        </w:rPr>
        <w:t>E. 4</w:t>
      </w:r>
    </w:p>
    <w:p>
      <w:r>
        <w:t>Il résulte de ce qui précède que le recours doit être admis, l’ordonnance attaquée annulée et le dossier de la cause renvoyé au Ministère public de l’arrondissement du Nord vaudois pour qu’il procède dans le sens des considérants. Les frais de la procédure de recours, constitués en l’espèce du seul émolument d’arrêt, par 550 fr. (art. 20 al. 1 TFIP [Tarif des frais de procédure et indemnités en matière pénale du 28 septembre 2010 ; RSV 312.03.1]), seront laissés à la charge de l’Etat (art. 423 al. 1 CPP). Le montant de 550 fr. versé par le recourant à titre de sûretés doit lui être restitué (art. 7 TFIP). Par ces motifs, la Chambre des recours pénale prononce : I. Le recours est admis. II. L’ordonnance du 26 juillet 2016 est annulée. III. Le dossier de la cause est renvoyé au Ministère public de l'arrondissement du Nord vaudois pour qu’il procède dans le sens des considérants. IV. Les frais du présent arrêt, par 550 fr. (cinq cent cinquante francs), sont laissés à la charge de l’Etat.</w:t>
      </w:r>
    </w:p>
    <w:p>
      <w:r>
        <w:t>- 6 - V. Le montant de 550 fr. (cinq cent cinquante francs) versé par le recourant à titre de sûretés lui est restitué. VI. L’arrêt est exécutoire. Le président : La greffière : Du Le présent arrêt, dont la rédaction a été approuvée à huis clos, est notifié, par l'envoi d'une copie complète, à : - M. F.________, - M. M.________,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