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PE16.009752 vom 8. Juni 2016</w:t>
      </w:r>
    </w:p>
    <w:p>
      <w:r>
        <w:t>VD Tribunal cantonal, 2016-06-08, FR</w:t>
      </w:r>
    </w:p>
    <w:p>
      <w:r>
        <w:rPr>
          <w:b/>
        </w:rPr>
        <w:t xml:space="preserve">Quelle: </w:t>
      </w:r>
      <w:r>
        <w:t>https://mcp.opencaselaw.ch/entscheid/vd_gerichte_PE16.009752</w:t>
      </w:r>
    </w:p>
    <w:p>
      <w:r>
        <w:t>FR: VD_GERICHTE PE16.009752 du 8 juin 2016</w:t>
      </w:r>
    </w:p>
    <w:p>
      <w:r>
        <w:t>IT: VD_GERICHTE PE16.009752 del 8 giugno 2016</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t>- 4 -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2.2</w:t>
      </w:r>
    </w:p>
    <w:p>
      <w:r>
        <w:t>En l’espèce, se fondant sur les déclarations d’un coprévenu qui a prétendu avoir agi seul et qui a indiqué que lors du cambriolage en question le recourant était resté dans la voiture, et soutenant ignorer la présence de bijoux dans l’appartement qu’il occupait, I.________ conteste être l’auteur des faits qui lui sont reprochés, respectivement conteste l’existence de graves soupçons à son encontre. En l’occurrence, le recourant a été interpellé dans la voiture à l’intérieur de laquelle la police a retrouvé les objets dérobés lors du cambriolage commis le 23 mai 2016. Même à supposer que le recourant soit resté dans la voiture, cela n’exclut pas sa collaboration comme coauteur ou comme complice. Quant à l’argument de l’intéressé selon lequel il ignorait que les bijoux se trouvaient dans l’appartement perquisitionné, on peut sérieusement en douter, dès lors que le recourant occupait le logement en question. Enfin, il y a lieu de relever que le recourant a déjà été condamné à deux reprises les 25 septembre 2009 et 26 octobre 2009, la première fois pour vol et la seconde notamment pour vol d’importance mineure. Au vu des éléments qui précèdent, il existe, à ce stade de la procédure, des indices suffisamment sérieux de culpabilité à l’encontre d’I.________ pour justifier sa mise en détention provisoire.</w:t>
      </w:r>
    </w:p>
    <w:p>
      <w:r>
        <w:rPr>
          <w:b/>
        </w:rPr>
        <w:t>E. 3.1</w:t>
      </w:r>
    </w:p>
    <w:p>
      <w:r>
        <w:t>Le recourant conteste l’existence d’un risque de fuite (art. 221 al. 1 let. a CPP).</w:t>
      </w:r>
    </w:p>
    <w:p>
      <w:r>
        <w:t>- 5 -</w:t>
      </w:r>
    </w:p>
    <w:p>
      <w:r>
        <w:rPr>
          <w:b/>
        </w:rPr>
        <w:t>E. 3.2</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consid. 3.1 non publié aux ATF 138 IV 81). La gravité de l’infraction ne peut pas, à elle seule, justifier la prolongation de la détention, même si elle permet souvent de présumer un danger de fuite en raison de l’importance de la peine dont le prévenu est menacé (ibidem).</w:t>
      </w:r>
    </w:p>
    <w:p>
      <w:r>
        <w:rPr>
          <w:b/>
        </w:rPr>
        <w:t>E. 3.3</w:t>
      </w:r>
    </w:p>
    <w:p>
      <w:r>
        <w:t>En l’espèce, s'agissant d’un prévenu ressortissant du Bélarus, sans aucune attache solide avec la Suisse et dont toute la famille réside en Biélorussie, il existe un risque concret qu’I.________ tente de se soustraire aux poursuites pénales en cas de libération, en particulier compte tenu des charges qui pèsent contre lui, le recourant étant susceptible d’être poursuivi pour vol en bande, infraction punie d’une peine importante (cf. art. 139 ch. 3 CP), et de ses antécédents. Au vu de ces éléments, la réalisation du risque de fuite apparaît non seulement possible, mais également probable (TF 1B_414/2011 du 5 septembre 2011 consid. 3.1). Dans ces circonstances, l’ordonnance attaquée échappe à la critique, en tant qu’elle retient l’existence d’un risque de fuite concret au sens de l’art. 221 al. 1 let. a CPP.</w:t>
      </w:r>
    </w:p>
    <w:p>
      <w:r>
        <w:rPr>
          <w:b/>
        </w:rPr>
        <w:t>E. 4.1</w:t>
      </w:r>
    </w:p>
    <w:p>
      <w:r>
        <w:t>Le recourant conteste l’existence d’un risque de collusion (art. 221 al. 1 let. b CPP).</w:t>
      </w:r>
    </w:p>
    <w:p>
      <w:r>
        <w:rPr>
          <w:b/>
        </w:rPr>
        <w:t>E. 4.2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w:t>
      </w:r>
    </w:p>
    <w:p>
      <w:r>
        <w:t>- 6 -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w:t>
      </w:r>
    </w:p>
    <w:p>
      <w:r>
        <w:rPr>
          <w:b/>
        </w:rPr>
        <w:t>E. 4.3</w:t>
      </w:r>
    </w:p>
    <w:p>
      <w:r>
        <w:t>En l’espèce, il ressort du rapport de police du 23 mai 2016 que des mesures d’investigation sont en cours. Il s’agit d’extraire des données téléphoniques contenues dans le téléphone cellulaire appartenant au recourant, ainsi que dans le téléphone cellulaire de marque Nokia, retrouvé lors de la perquisition et qui n’a pas pu être attribué à l’un des prévenus, pour identifier d’éventuels complice et comprendre le rôle tenu par chacun. Il s’agit également d’établir la provenance du butin retrouvé lors de la perquisition. Il faut donc éviter que le recourant entrave l’instruction. Au vu de ce qui précède, le risque de collusion s'oppose également, en l’état, à la levée de la détention provisoire du recourant.</w:t>
      </w:r>
    </w:p>
    <w:p>
      <w:r>
        <w:rPr>
          <w:b/>
        </w:rPr>
        <w:t>E. 5.1</w:t>
      </w:r>
    </w:p>
    <w:p>
      <w:r>
        <w:t>Le recourant fait valoir que des mesures de substitution seraient propres à pallier l’existence des risques de fuite et de collusion.</w:t>
      </w:r>
    </w:p>
    <w:p>
      <w:r>
        <w:rPr>
          <w:b/>
        </w:rPr>
        <w:t>E. 5.2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w:t>
      </w:r>
    </w:p>
    <w:p>
      <w:r>
        <w:t>- 7 -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liste des mesures de substitution énoncée à l'art. 237 al. 2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5.3</w:t>
      </w:r>
    </w:p>
    <w:p>
      <w:r>
        <w:t>En l’espèce, les mesures de substitution proposées par le recourant, soit le dépôt de ses documents de voyage et l’obligation de se présenter régulièrement à un poste de police, ne l’empêcheraient ni de disparaître dans la clandestinité, ni d’entraver l’instruction en prévenant d’éventuels complices. Par conséquent, le maintien en détention provisoire d’I.________ est justifié.</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t>- 8 -</w:t>
      </w:r>
    </w:p>
    <w:p>
      <w:r>
        <w:rPr>
          <w:b/>
        </w:rPr>
        <w:t>E. 6.2</w:t>
      </w:r>
    </w:p>
    <w:p>
      <w:r>
        <w:t>En l’espèce, le recourant est détenu depuis le 23 mai 2016, soit depuis près de trois semaines. Compte tenu des faits qui lui sont reprochés et de ses antécédents, le recourant s'expose à une peine d’une durée supérieure à celle de la détention provisoire subie à ce jour. Quant à sa conclusion subsidiaire tendant à la réduction de la durée de sa mise en détention provisoire à un mois, on ne saurait l’admettre, une telle durée étant insuffisante au regard des mesures d’instruction mises en œuvre et du fait que le recourant s’expose à une peine privative de liberté supérieure à six mois. Le principe de la proportionnalité demeure donc respecté.</w:t>
      </w:r>
    </w:p>
    <w:p>
      <w:r>
        <w:rPr>
          <w:b/>
        </w:rPr>
        <w:t>E. 7</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d’I.________, qui succombe (art. 428 al. 1 CPP). Le remboursement à l’Etat de l’indemnité allouée au défenseur d’office du recourant ne sera toutefois exigible que pour autant que la situation économique de ce dernier se soit améliorée (art. 135 al. 4 CPP).</w:t>
      </w:r>
    </w:p>
    <w:p>
      <w:r>
        <w:t>- 9 - Par ces motifs, la Chambre des recours pénale prononce : I. Le recours est rejeté. II. L’ordonnance du 26 mai 2016 est confirmée. III. L’indemnité allouée au défenseur d’office d’I.________ est fixée à 583 fr. 20 (cinq cent huitante-trois francs et vingt centimes). IV. Les frais d’arrêt, par 880 fr. (huit cent huitante francs), ainsi que l’indemnité due au défenseur d’office d’I.________, par 583 fr. 20 (cinq cent huitante-trois francs et vingt centimes), sont mis à la charge de ce dernier. V. Le remboursement à l'Etat de l'indemnité allouée au chiffre III ci-dessus ne sera exigible que pour autant que la situation économique d’I.________ se soit améliorée. VI. L’arrêt est exécutoire. Le président : La greffière : Du Le présent arrêt, dont la rédaction a été approuvée à huis clos, est notifié, par l'envoi d'une copie complète, à : - Me Rachel Debluë, avocate (pour I.________), - Ministère public central ; et communiqué à : - Mme la Présidente du Tribunal des mesures de contrainte,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