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PE16.009743 vom 19. Januar 2018</w:t>
      </w:r>
    </w:p>
    <w:p>
      <w:r>
        <w:t>VD Tribunal cantonal, 2018-01-19, FR</w:t>
      </w:r>
    </w:p>
    <w:p>
      <w:r>
        <w:rPr>
          <w:b/>
        </w:rPr>
        <w:t xml:space="preserve">Quelle: </w:t>
      </w:r>
      <w:r>
        <w:t>https://mcp.opencaselaw.ch/entscheid/vd_gerichte_PE16.009743</w:t>
      </w:r>
    </w:p>
    <w:p>
      <w:r>
        <w:t>FR: VD_GERICHTE PE16.009743 du 19 janvier 2018</w:t>
      </w:r>
    </w:p>
    <w:p>
      <w:r>
        <w:t>IT: VD_GERICHTE PE16.009743 del 19 gennaio 2018</w:t>
      </w:r>
    </w:p>
    <w:p>
      <w:pPr>
        <w:pStyle w:val="Heading2"/>
      </w:pPr>
      <w:r>
        <w:t>Erwägungen</w:t>
      </w:r>
    </w:p>
    <w:p>
      <w:r>
        <w:rPr>
          <w:b/>
        </w:rPr>
        <w:t>E. 3.1</w:t>
      </w:r>
    </w:p>
    <w:p>
      <w:r>
        <w:t>non publié). Pour déterminer si une déclaration est attentatoire à l’honneur, il faut procéder à une interprétation objective selon le sens qu’un auditeur ou un lecteur non prévenu devait, dans les circonstances données, lui attribuer (ATF 128 IV 260 consid. 3.1 non publié). L’infraction est intentionnelle. L’auteur doit vouloir ou accepter que son allégation soit attentatoire à l’honneur et qu’elle soit communiquée à la victime ou à un</w:t>
      </w:r>
    </w:p>
    <w:p>
      <w:r>
        <w:t>- 9 - tiers, selon le cas d’espèce (Dupuis et al. [éd.], Petit commentaire, Code pénal, 2e éd., Bâle 2017, n. 19 ad art. 177 CP).</w:t>
      </w:r>
    </w:p>
    <w:p>
      <w:r>
        <w:rPr>
          <w:b/>
        </w:rPr>
        <w:t>E. 3.2</w:t>
      </w:r>
    </w:p>
    <w:p>
      <w:r>
        <w:t>En l’occurrence, après avoir rejeté les réquisitions de preuve des époux T.________, le Ministère public a considéré que la culpabilité de A.V.________, qui contestait les faits, n’avait pas été démontrée à satisfaction de droit. La procureure a estimé que l’audition d’ [...] et [...], voisins des parties ayant assisté aux événements 19 mai 2016, était</w:t>
      </w:r>
    </w:p>
    <w:p>
      <w:r>
        <w:t>- 8 - superflue et disproportionnée, compte tenu de l'enregistrement de la dispute versé au dossier et de la gravité moindre des infractions pour lesquelles A.V.________ était mise en accusation. Quant à la requête tendant à la traduction des propos tenus en arabe par la prévenue, la procureure a exposé « qu’il n’y [avait] pas lieu ici d'entreprendre de nouvelles démarches pour déceler et quasiment "pourchasser" tous les termes injurieux potentiellement utilisés par A.V.________, dès lors qu'en définitive, si de tels propos avaient été tenus et qu'ils étaient avérés, la peine proposée par le Ministère public à l'autorité de jugement serait la même ». Pour le surplus, toute autre opération d’enquête apparaissait disproportionnée, A.V.________ étant par ailleurs déjà renvoyée devant l’autorité de jugement pour des injures et une menace audible sur l’enregistrement.</w:t>
      </w:r>
    </w:p>
    <w:p>
      <w:r>
        <w:rPr>
          <w:b/>
        </w:rPr>
        <w:t>E. 3.3.1</w:t>
      </w:r>
    </w:p>
    <w:p>
      <w:r>
        <w:t>Aux termes de l'art. 177 CP, celui qui, de toute autre manière que par celles visées aux dispositions précédentes, aura, par la parole, l’écriture, l’image, le geste ou par des voies de fait, attaqué autrui dans son honneur sera, sur plainte, puni d’une peine pécuniaire de 90 jours- 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ou entité juridique (TF 6B_602/2009 du 29 septembre 2009 consid. 2.2 ; ATF 128 IV 260 consid.</w:t>
      </w:r>
    </w:p>
    <w:p>
      <w:r>
        <w:rPr>
          <w:b/>
        </w:rPr>
        <w:t>E. 3.3.2</w:t>
      </w:r>
    </w:p>
    <w:p>
      <w:r>
        <w:t>Se rend coupable de menaces au sens de l’art. 180 CP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et TF 6B_435/2011 du 6 octobre 2011 consid.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consid. 1a). Subjectivement, l'auteur doit avoir l'intention non seulement de proférer des menaces graves, mais aussi d'alarmer ou d'effrayer le destinataire. Le dol éventuel suffit.</w:t>
      </w:r>
    </w:p>
    <w:p>
      <w:r>
        <w:rPr>
          <w:b/>
        </w:rPr>
        <w:t>E. 3.4</w:t>
      </w:r>
    </w:p>
    <w:p>
      <w:r>
        <w:t>En l’espèce, force est de constater que, même si leur teneur était établie, les propos injurieux qu’aurait tenus A.V.________ en arabe l’ont été dans une langue qu’elle savait étrangère à ses interlocuteurs. Ils n’étaient par conséquent pas destinés à être compris par ces derniers. L’élément constitutif subjectif de l’art. 177 CP fait ainsi défaut. Contrairement à ce qu’ont rétorqué les époux T.________, on ne saurait retenir qu’il s’agissait d’une injure « répandue, connue et particulièrement facile à comprendre ».</w:t>
      </w:r>
    </w:p>
    <w:p>
      <w:r>
        <w:t>- 10 - S’agissant de la menace de « buter » les époux T.________ qui aurait été antérieure à l’enregistrement vidéo, cette menace, si elle était avérée, n’a manifestement pas été ressentie comme grave au sens de la jurisprudence précitée, les intéressés ne l’ayant pas prise au sérieux. Dans ces circonstances, s’agissant de surcroît d’un simple conflit de voisinage portant sur l’exercice d’une servitude de passage, on ne saurait considérer que les propos de la prévenue étaient objectivement de nature à alarmer ou effrayer leurs destinataires. Les éléments constitutifs des infractions concernées n’étant pas réunis au sens de l’art. 319 al. 1 let. b CPP, c’est donc à juste que la procédure a été classée sur ces points sans qu’il y ait lieu de procéder aux mesures d’instruction requises.</w:t>
      </w:r>
    </w:p>
    <w:p>
      <w:r>
        <w:rPr>
          <w:b/>
        </w:rPr>
        <w:t>E. 4.1</w:t>
      </w:r>
    </w:p>
    <w:p>
      <w:r>
        <w:t>A.V.________ conteste le classement de la procédure en tant qu’il porte sur le reproche fait aux époux T.________ d’avoir enregistré des sons et des images provenant de la propriété de son mari au moyen de caméras de surveillance. En l’occurrence, la procureure a retenu qu’il ressortait des pièces versées au dossier que les caméras des prévenus étaient fixes et non orientables à distance, qu’elles ne permettaient pas de reproduire des enregistrements sonores, que les enregistrements d'images étaient en format AVI, non accessibles au public, et qu'ils étaient automatiquement détruits. Enfin, le champ de vision des caméras n’était pas dirigé vers la propriété privée de B.V.________, mais en direction de la propriété des époux T.________. Dans son recours, A.V.________ fait valoir que le champ de vision de ces caméras serait bel et bien dirigé vers la propriété privée de son mari puisqu’elles filmeraient la route qui appartiendrait à son époux, B.V.________. A cet égard, la procureure aurait dû procéder à l’audition de [...], à qui B.T.________ aurait proposé de visionner des images de cette route. Cette audition aurait en outre démontré que la destruction des</w:t>
      </w:r>
    </w:p>
    <w:p>
      <w:r>
        <w:t>- 11 - images issues de ces caméras n’était pas immédiate. Enfin, A.V.________ maintient que ces appareils seraient pourvus de microphones.</w:t>
      </w:r>
    </w:p>
    <w:p>
      <w:r>
        <w:rPr>
          <w:b/>
        </w:rPr>
        <w:t>E. 4.2</w:t>
      </w:r>
    </w:p>
    <w:p>
      <w:r>
        <w:t>Aux termes de l’art. 179ter CP, celui qui, sans le consentement des autres interlocuteurs, aura enregistré sur un porteur de son une conversation non publique à laquelle il prenait part (al. 1) ou celui qui aura conservé un enregistrement qu'il savait ou devait présumer avoir été réalisé au moyen d'une infraction visée à l'al. 1, ou en aura tiré profit, ou l'aura rendu accessible à un tiers (al. 2) sera, sur plainte, puni d'une peine privative de liberté d'un an au plus ou d'une peine pécuniaire. Aux termes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w:t>
      </w:r>
    </w:p>
    <w:p>
      <w:r>
        <w:rPr>
          <w:b/>
        </w:rPr>
        <w:t>E. 4.3</w:t>
      </w:r>
    </w:p>
    <w:p>
      <w:r>
        <w:t>En l’espèce, l’argumentation de A.V.________ est dénuée de pertinence. En effet, la recourante indique elle-même que la route goudronnée dont son époux est propriétaire et qui serait filmée par les prévenus fait l’objet d’une servitude. Dans ces conditions, il peut d’emblée être exclu que l’infraction réprimée par l’art. 179quater CP soit réalisée, puisque la route qui se situerait dans le champ de vision des caméras litigieuses, sur laquelle les époux T.________ et leurs visiteurs peuvent passer en tout temps, ne peut pas être considérée comme un lieu qui relèverait du domaine privé des époux V.________ et qui ne pourrait pas être perçu sans autre par chacun. En outre, un éventuel enregistrement audio provenant de ces caméras ne pourrait pas réaliser les éléments</w:t>
      </w:r>
    </w:p>
    <w:p>
      <w:r>
        <w:t>- 12 - constitutifs objectifs de l’infraction réprimée par l’art. 179quater CP, ni – subsidiairement – l’élément subjectif (intention d’enregistrer des conversations privées) de l’infraction réprimée par l’art. 179ter CP. Mal fondé, le grief doit ainsi être rejeté.</w:t>
      </w:r>
    </w:p>
    <w:p>
      <w:r>
        <w:rPr>
          <w:b/>
        </w:rPr>
        <w:t>E. 5</w:t>
      </w:r>
    </w:p>
    <w:p>
      <w:r>
        <w:t>A.V.________ reproche ensuite à la procureure de ne pas avoir fait mention de l’enregistrement réalisé par A.T.________ au moyen d’un téléphone cellulaire de l’altercation du 19 mai 2016 (P. 22). Elle estime que celui-ci tomberait également sous le coup des infractions réprimées par les art. 179ter et 179quater CP. En l’occurrence, ces infractions ne sont poursuivies que sur plainte. Or, la recourante ne prétend pas avoir déposé plainte pour ce fait dans les trois mois dès le moment où elle a eu connaissance de l’enregistrement litigieux, soit dans les trois mois dès le 19 mai 2016, puisqu’elle rappelle elle-même que sur le moment, elle n’a pas cessé de demander aux époux T.________ d’arrêter de la filmer. L’exposé des motifs de sa plainte du 18 août 2016 ne fait nullement état de l’enregistrement de l’altercation du 19 mai 2016. Le grief doit par conséquent également être rejeté.</w:t>
      </w:r>
    </w:p>
    <w:p>
      <w:r>
        <w:rPr>
          <w:b/>
        </w:rPr>
        <w:t>E. 6.1</w:t>
      </w:r>
    </w:p>
    <w:p>
      <w:r>
        <w:t>A.V.________ conteste enfin le classement de la procédure en tant qu’il porte sur le reproche fait aux époux T.________ d’avoir porté atteinte à son honneur au sens des art. 173 et 174 CP, en écrivant à leur fils, [...]T.________, qu’elle était une « psychopathe » et qu’elle leur adressait des menaces de mort.</w:t>
      </w:r>
    </w:p>
    <w:p>
      <w:r>
        <w:rPr>
          <w:b/>
        </w:rPr>
        <w:t>E. 6.2</w:t>
      </w:r>
    </w:p>
    <w:p>
      <w:r>
        <w:t>La procureure a considéré que si le terme « psychopathe » pouvait être considéré comme injurieux, force était toutefois de constater qu'il n'était pas destiné à A.V.________ directement, mais au fils des époux T.________. S'agissant d'une injure, et non d'une atteinte à l'honneur de la plaignante au sens des art. 173 ou 174 CP, puisque cette assertion n’était pas de nature à la décrire comme méprisable, mais comme malade, elle ne saurait faire l'objet d'une sanction puisque A.V.________ n'était pas</w:t>
      </w:r>
    </w:p>
    <w:p>
      <w:r>
        <w:t>- 13 - supposée en avoir connaissance. Elle n'en avait pris connaissance que lorsque le courriel du fils des époux T.________ avait été produit au dossier, le but de ces derniers à ce moment-là n'étant pas d'injurier leur voisine mais de confirmer leurs dires s'agissant des conséquences du comportement de l'intéressée sur leur vie familiale.</w:t>
      </w:r>
    </w:p>
    <w:p>
      <w:r>
        <w:rPr>
          <w:b/>
        </w:rPr>
        <w:t>E. 6.3</w:t>
      </w:r>
    </w:p>
    <w:p>
      <w:r>
        <w:t>Ce raisonnement échappe à la critique et doit être confirmé. Le terme de « psychopathe » caractérise une personne atteinte de psychopathie, soit, selon le Petit Robert, une « déficience mentale constitutionnelle caractérisée essentiellement par l’impulsivité, l’instabilité, l’incapacité d’adaptation au milieu menant à des conduites antisociales ». Ce qualificatif n’est certes pas agréable à entendre, mais, comme d’autres qui qualifient une déficience mentale constitutionnelle – comme imbécile, débile, ou idiot –, il n’est pas propre à faire apparaître la personne visée comme méprisable.</w:t>
      </w:r>
    </w:p>
    <w:p>
      <w:r>
        <w:rPr>
          <w:b/>
        </w:rPr>
        <w:t>E. 7</w:t>
      </w:r>
    </w:p>
    <w:p>
      <w:r>
        <w:t>ll résulte de ce qui précède que tant le recours déposé par les époux T.________ que le recours déposé par A.V.________ doivent être rejetés, l’ordonnance attaquée devant être confirmée. Les frais de la procédure de recours, constitués en l'espèce du seul émolument d'arrêt, par 1’320 fr. (art. 20 al. 1 TFIP [Tarif des frais de procédure et indemnités en matière pénale du 28 septembre 2010 ; RSV 312.03.1]), seront mis par moitié à la charge des époux T.________, solidairement entre eux, et par moitié à la charge de A.V.________ (art. 428 al. 1 CPP). Vu le rejet de leur recours, il n'y a pas lieu d'accorder aux recourants T.________ l'indemnité de 1'500 fr. à laquelle ils ont conclu. Pour sa part et dans la mesure où elle a été invitée à se déterminer sur ce recours, A.V.________, qui a conclu à son rejet « sous suite de frais et dépens », a droit à l’allocation d’une indemnité pour les dépenses occasionnées par l’exercice raisonnable de ses droits au sens de l’art. 432 al. 2 CPP, applicable par renvoi de l’art. 436 al. 1 CPP. En effet,</w:t>
      </w:r>
    </w:p>
    <w:p>
      <w:r>
        <w:t>- 14 - vu l'acte d'accusation rendu et les faits qui y sont retenus, il convient de considérer que le recours des époux T.________ contre l'ordonnance de classement relevait d’un certain acharnement. Au vu des déterminations produites, l’indemnité allouée sera fixée à 900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72 fr., soit 972 fr. au total. Elle sera mise à la charge de A.T.________ et B.T.________, solidairement entre eux. Par ces motifs, la Chambre des recours pénale prononce : I. Le recours de A.T.________et B.T.________ est rejeté. II. Le recours de A.V.________ est rejeté. III. L’ordonnance du 28 septembre 2017 est confirmée. IV. Les frais d'arrêt, par 1'320 fr. (mille trois cent vingt francs), sont mis par moitié à la charge de A.T.________ et B.T.________, solidairement entre eux, et par moitié à la charge de A.V.________. V. Une indemnité de 972 fr. (neuf cent septante-deux francs) est allouée à A.V.________ pour la procédure de recours à la charge de A.T.________et B.T.________, solidairement entre eux. VI. L’arrêt est exécutoire. Le président : La greffière :</w:t>
      </w:r>
    </w:p>
    <w:p>
      <w:r>
        <w:t>- 15 - Du Le présent arrêt, dont la rédaction a été approuvée à huis clos, est notifié, par l'envoi d'une copie complète, à : - Me Aline Bonard, avocate (pour A.V.________), - Me Mathias Keller, avocat (pour A.T.________ et B.T.________), - Ministère public central, et communiqué à : - Mme la Procureure de l'arrondissement de l'Est vaudois, - Service de la population, secteur 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