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PE16.009633 vom 1. Mai 2017</w:t>
      </w:r>
    </w:p>
    <w:p>
      <w:r>
        <w:t>VD Tribunal cantonal, 2017-05-01, FR</w:t>
      </w:r>
    </w:p>
    <w:p>
      <w:r>
        <w:rPr>
          <w:b/>
        </w:rPr>
        <w:t xml:space="preserve">Quelle: </w:t>
      </w:r>
      <w:r>
        <w:t>https://mcp.opencaselaw.ch/entscheid/vd_gerichte_PE16.009633</w:t>
      </w:r>
    </w:p>
    <w:p>
      <w:r>
        <w:t>FR: VD_GERICHTE PE16.009633 du 1 mai 2017</w:t>
      </w:r>
    </w:p>
    <w:p>
      <w:r>
        <w:t>IT: VD_GERICHTE PE16.009633 del 1 maggio 2017</w:t>
      </w:r>
    </w:p>
    <w:p>
      <w:pPr>
        <w:pStyle w:val="Heading2"/>
      </w:pPr>
      <w:r>
        <w:t>Erwägungen</w:t>
      </w:r>
    </w:p>
    <w:p>
      <w:r>
        <w:rPr>
          <w:b/>
        </w:rPr>
        <w:t>E. 3.1</w:t>
      </w:r>
    </w:p>
    <w:p>
      <w:r>
        <w:t>Le recourant ne conteste pas le suicide de son épouse, mais estime que la prise en charge médicale au sein du X.________ a été insuffisante et qu’il avait averti le personnel, la veille du décès, que son épouse avait l’intention de mettre fin à ses jours.</w:t>
      </w:r>
    </w:p>
    <w:p>
      <w:r>
        <w:rPr>
          <w:b/>
        </w:rPr>
        <w:t>E. 3.2</w:t>
      </w:r>
    </w:p>
    <w:p>
      <w:r>
        <w:t>L'art. 117 CP réprime le comportement de celui qui, par négligence, aura causé la mort d'une personne. La réalisation de cette infraction suppose la réunion de trois conditions : le décès d'une personne, une négligence et un lien de causalité entre la négligence et la mort (ATF 122 IV 145 consid. 3 ; TF 6B_512/2010 du 26 octobre 2010 consid. 2.1). L'art.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deux conditions doivent être remplies pour qu'il y ait négligence. En premier lieu, il faut que l'auteur ait violé les règles de la prudence, c'est-à- 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w:t>
      </w:r>
    </w:p>
    <w:p>
      <w:r>
        <w:t>- 7 - lignes, le déroulement des événements et, le cas échéant, quelles mesures elle pouvait prendre pour éviter la survenance du résultat dommageable. Dans les domaines d'activités régis par des dispositions légales, administratives ou associatives reconnues, destinées à assurer la sécurité et à éviter des accidents, le devoir de prudence comprend en particulier le respect de ces dispositions (ATF 122 IV 133 consid. 2a ; TF 6B_369/2011 du 5 décembre 2011 consid. 2.1 ; TF 6B_748/2010 et 6B_753/2010 du 23 décembre 2010 consid. 4.1). En second lieu, pour qu'il y ait négligence, il faut que la violation du devoir de prudence soit fautive, c'est-à-dire que l'on puisse reprocher à l'auteur, compte tenu de ses circonstances personnelles, une inattention ou un manque d'effort blâmable (ATF 134 IV 255 consid. 4.2.3 et les réf. citées).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et d'appréciation laissé au médecin, des moyens à disposition et de l'urgence de l'acte médical. La responsabilité civile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Cette notion ne doit toutefois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ses devoirs que lorsqu'il pose un</w:t>
      </w:r>
    </w:p>
    <w:p>
      <w:r>
        <w:t>- 8 - diagnostic ou choisit une thérapie ou une autre méthode qui, selon l'état général des connaissances professionnelles, n'apparaît plus défendable et ne satisfait pas aux exigences objectives de l'art médical (ATF 130 IV 7, JdT 2004 I 497 consid. 3.3 et les réf. citées).</w:t>
      </w:r>
    </w:p>
    <w:p>
      <w:r>
        <w:rPr>
          <w:b/>
        </w:rPr>
        <w:t>E. 3.3</w:t>
      </w:r>
    </w:p>
    <w:p>
      <w:r>
        <w:t>En l’espèce, il ressort du dossier (en particulier des P. 7/1 et P. 13) qu’à la suite des deux tentatives de suicide médicamenteux de B.B.________, une surveillance aux heures par le personnel soignant et des entretiens médico-infirmiers réguliers ont été mis en place. La surveillance a été arrêtée le 23 mars 2016 au vu de l’absence d’idées suicidaires de la patiente depuis le 28 février 2016, mais les entretiens médicaux infirmiers ont continué, en moyenne deux fois par semaine, durant lesquels le risque suicidaire a constamment été évalué. Les médecins ont constaté une amélioration de l’état clinique de B.B.________, raison pour laquelle elle a pu bénéficier, avec l’accord de la famille, de sorties accompagnées par les soignants, puis de sorties de quelques heures en famille et enfin, dès le 6 mai 2016, de sorties seules et de congés. Ils ont également observé que les sorties non accompagnées s’étaient bien déroulées. Lors d’un entretien médico-infirmier du 17 mai 2016, B.B.________ a évoqué ses angoisses persistantes et le traitement médicamenteux a été adapté. Le 18 mai 2016, le recourant a contacté l’hôpital pour les informer que son épouse lui avait fait part de son souhait d’en finir. Ainsi, le lendemain, le personnel soignant a vu à trois reprises B.B.________, laquelle n’a fait part d’aucune idée funeste, raison pour laquelle elle a été autorisée à sortir durant l’après-midi. Au vu de ces éléments, toute violation du devoir de prudence de la part du personnel du X.________ peut être exclue. En effet, il n’apparaît pas que la défunte aurait bénéficié de soins insuffisants en raison notamment d’un manque de personnel. Des mesures de surveillance, des entretiens médico-infirmiers réguliers et même des séances d’ergothérapie à raison de cinq fois par semaine ont été mis en œuvre lors de l’hospitalisation. L’information donnée par le recourant le 18 mai 2016 s’agissant des idées suicidaires de son épouse a également été prise en compte. Le personnel a vu à trois reprises B.B.________ durant la</w:t>
      </w:r>
    </w:p>
    <w:p>
      <w:r>
        <w:t>- 9 - journée du 19 mai 2016 sans qu’un indice de passage à l’acte ne soit détecté. L’infirmière qui a autorisé la défunte à faire sa promenade l’a décrite comme « plutôt calme » et n’a constaté à aucun moment qu’elle « allait commettre l’irréparable » (PV aud. 3, pp. 2s.). Le comportement de la patiente n’était ainsi pas prévisible, l’évolution de son état clinique depuis son hospitalisation en février 2016 étant positive et démontrant plutôt que le risque suicidaire était faible. L’expérience montre qu’il est très difficile d’identifier des idées suicidaires si son auteur les cache à son entourage ou à des tiers et il arrive parfois que des mesures de surveillance strictes ne puissent empêcher une personne déterminée à s'ôter la vie. Certes, un taux toxique d’antidépresseur a été mesuré dans le sang de la défunte. Cela peut toutefois s’expliquer par le fait que B.B.________ aurait prémédité son geste et aurait elle-même ingéré une surdose de Sertraline, les autres médicaments mesurés dans son sang et son urine correspondant aux valeurs thérapeutiques (P. 13, p. 24 ss). Enfin, l’autopsie médico-légale réalisée par le CURML a exclu toute intervention de tiers, ce que le recourant ne conteste pas. Son grief sur la présence de deux hématomes sur la tête de la défunte, lors de la reconnaissance du corps, ne saurait modifier cette appréciation. On ne peut dès lors reprocher au personnel hospitalier un manquement fautif dans la surveillance de B.B.________. Les conditions d’application de l’art. 117 CP ne sont ainsi pas réunies et c’est à juste titre que le Ministère public a rendu une ordonnance de classement.</w:t>
      </w:r>
    </w:p>
    <w:p>
      <w:r>
        <w:rPr>
          <w:b/>
        </w:rPr>
        <w:t>E. 4</w:t>
      </w:r>
    </w:p>
    <w:p>
      <w:r>
        <w:t>En définitive, le recours, mal fondé, doit être rejeté dans la mesure où il est recevable, sans autre échange d'écritures (art. 390 al. 2 CPP) et l'ordonnance entreprise confirmée. Les frais de la procédure de recours, constitués en l’espèce de l’émolument d’arrêt (art. 422 al. 1 CPP), par 990 fr. (art. 20 al. 1 TFIP [tarif des frais de procédure et indemnités en matière pénale du 28 septembre</w:t>
      </w:r>
    </w:p>
    <w:p>
      <w:r>
        <w:t>- 10 - 2010 ; RSV 312.03.1]), seront mis à la charge du recourant, qui succombe (art. 428 al. 1 CPP). Par ces motifs, la Chambre des recours pénale prononce : I. Le recours est rejeté dans la mesure où il est recevable. II. L’ordonnance du 16 mars 2017 est confirmée. III. Les frais d’arrêt, par 990 fr. (neuf cent nonante francs), sont mis à la charge d’A.B.________. IV. L’arrêt est exécutoire. Le président : La greffière : Du Le présent arrêt, dont la rédaction a été approuvée à huis clos, est notifié, par l'envoi d'une copie complète, à : - M. A.B.________, - Ministère public central, et communiqué à : - M. F.B.________, - M. le Procureur du Ministère public de l’arrondissement du Nord vaudois, par l’envoi de photocopies. Le présent arrêt peut faire l'objet d'un recours en matière pénale devant le Tribunal fédéral au sens des art. 78 ss LTF (loi du 17 juin</w:t>
      </w:r>
    </w:p>
    <w:p>
      <w:r>
        <w:t>- 11 - 2005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