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PE16.009263 vom 27. Mai 2016</w:t>
      </w:r>
    </w:p>
    <w:p>
      <w:r>
        <w:t>VD Tribunal cantonal, 2016-05-27, FR</w:t>
      </w:r>
    </w:p>
    <w:p>
      <w:r>
        <w:rPr>
          <w:b/>
        </w:rPr>
        <w:t xml:space="preserve">Quelle: </w:t>
      </w:r>
      <w:r>
        <w:t>https://mcp.opencaselaw.ch/entscheid/vd_gerichte_PE16.009263</w:t>
      </w:r>
    </w:p>
    <w:p>
      <w:r>
        <w:t>FR: VD_GERICHTE PE16.009263 du 27 mai 2016</w:t>
      </w:r>
    </w:p>
    <w:p>
      <w:r>
        <w:t>IT: VD_GERICHTE PE16.009263 del 27 maggio 2016</w:t>
      </w:r>
    </w:p>
    <w:p>
      <w:pPr>
        <w:pStyle w:val="Heading2"/>
      </w:pPr>
      <w:r>
        <w:t>Erwägungen</w:t>
      </w:r>
    </w:p>
    <w:p>
      <w:r>
        <w:rPr>
          <w:b/>
        </w:rPr>
        <w:t>E. 1.1</w:t>
      </w:r>
    </w:p>
    <w:p>
      <w:r>
        <w:t>Aux termes de l’art. 410 al. 1 CPP (Code de procédure pénale suisse du 5 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Dans cette hypothèse, la demande de révision n’est soumise à aucun délai (art. 411 al. 2 CPP).</w:t>
      </w:r>
    </w:p>
    <w:p>
      <w:r>
        <w:rPr>
          <w:b/>
        </w:rPr>
        <w:t>E. 1.2</w:t>
      </w:r>
    </w:p>
    <w:p>
      <w:r>
        <w:t>Pour être valides en la forme, les demandes de révision doivent être motivées et adressées par écrit à la juridiction d’appel, les motifs de révision devant être exposés et justifiés dans la demande (art. 411 al. 1 CPP). L'art. 412 al. 2 CPP prescrit que la juridiction d'appel n'entre pas en matière sur la demande de révision si celle-ci est manifestement irrecevable ou non motivée ou si une demande de révision invoquant les mêmes motifs a déjà été rejetée par le passé.</w:t>
      </w:r>
    </w:p>
    <w:p>
      <w:r>
        <w:rPr>
          <w:b/>
        </w:rPr>
        <w:t>E. 2</w:t>
      </w:r>
    </w:p>
    <w:p>
      <w:r>
        <w:t>En l’espèce, T.________ se borne, à l’appui de sa demande de révision du 29 août 2016, à soutenir que le comportement de W.________ serait, selon lui, pénalement répréhensible. Toutefois, force est de constater que le requérant n’indique pas quels faits ou moyens de preuves</w:t>
      </w:r>
    </w:p>
    <w:p>
      <w:r>
        <w:t>- 4 - inconnus des juges de la Chambre des recours pénale du Tribunal cantonal seraient de nature à remettre en cause l’arrêt rendu le 9 août 2016. Pour le surplus, on relèvera encore que la demande de révision de T.________ paraît prématurée, dès lors que l’arrêt précité, notifié le 18 août 2016, n’était pas entré en force lorsqu’elle a été déposée.</w:t>
      </w:r>
    </w:p>
    <w:p>
      <w:r>
        <w:rPr>
          <w:b/>
        </w:rPr>
        <w:t>E. 3</w:t>
      </w:r>
    </w:p>
    <w:p>
      <w:r>
        <w:t>Au vu de ce qui précède, la demande de révision, non motivée, présentée par T.________ doit être déclarée irrecevable, sans autre échange d’écritures (art. 412 al. 2 et 3 CPP). Vu l’issue de la cause, les frais de révision, par 330 fr. (art. 21 al. 1 TFIP [tarif des frais de procédure et indemnités en matière pénale du 28 septembre 2010 ; RSV 312.03.1]), sont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