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PE16.009182 vom 17. September 2020</w:t>
      </w:r>
    </w:p>
    <w:p>
      <w:r>
        <w:t>VD Tribunal cantonal, 2020-09-17, FR</w:t>
      </w:r>
    </w:p>
    <w:p>
      <w:r>
        <w:rPr>
          <w:b/>
        </w:rPr>
        <w:t xml:space="preserve">Quelle: </w:t>
      </w:r>
      <w:r>
        <w:t>https://mcp.opencaselaw.ch/entscheid/vd_gerichte_PE16.009182</w:t>
      </w:r>
    </w:p>
    <w:p>
      <w:r>
        <w:t>FR: VD_GERICHTE PE16.009182 du 17 septembre 2020</w:t>
      </w:r>
    </w:p>
    <w:p>
      <w:r>
        <w:t>IT: VD_GERICHTE PE16.009182 del 17 settembre 2020</w:t>
      </w:r>
    </w:p>
    <w:p>
      <w:pPr>
        <w:pStyle w:val="Heading2"/>
      </w:pPr>
      <w:r>
        <w:t>Erwägungen</w:t>
      </w:r>
    </w:p>
    <w:p>
      <w:r>
        <w:rPr>
          <w:b/>
        </w:rPr>
        <w:t>E. 7</w:t>
      </w:r>
    </w:p>
    <w:p>
      <w:r>
        <w:t>L’appelant a été reconnu coupable de contravention à l’art. 7 LPAv dans le cas 6.12. La formulation dans l’acte d’accusation est maladroite puisqu’il lui est reproché d’avoir dit à une huissière de paix qu’il était l’avocat d’une personne soumise à une procédure d’exécution forcée, alors que l’art. 7 LPAv interdit à toute personne non inscrite au registre cantonal des avocats ou à un autre registre cantonal « d’offrir ses services au public dans une forme qui puisse faire croire qu’elle est soumise aux mêmes obligations que les avocats inscrits ». Dans la mesure où le détail des faits figurant dans le jugement (p. 52) fait état d’une tromperie de l’huissière et non d’une offre de services destinée à des clients, l’appelant doit être libéré du chef de prévention de contravention à la LPAv.</w:t>
      </w:r>
    </w:p>
    <w:p>
      <w:r>
        <w:rPr>
          <w:b/>
        </w:rPr>
        <w:t>E. 8.1</w:t>
      </w:r>
    </w:p>
    <w:p>
      <w:r>
        <w:t>L’appelant conteste partiellement les conclusions civiles allouées à la plaignante K.________. Il admet l’allocation des 6'000 fr. escroqués (cas 7) mais pas du solde non remboursé de la provision versée à hauteur de 3'402 fr. (cas. 6.4 ; P. 55).</w:t>
      </w:r>
    </w:p>
    <w:p>
      <w:r>
        <w:rPr>
          <w:b/>
        </w:rPr>
        <w:t>E. 8.2</w:t>
      </w:r>
    </w:p>
    <w:p>
      <w:r>
        <w:t>Selon l’art. 126 CPP, le tribunal statue sur les conclusions civiles présentées : (a) lorsqu’il rend un verdict de culpabilité à l’encontre du prévenu ou (b) lorsqu’il acquitte le prévenu et que l’état de fait est suffisamment établi (al. 1). Il renvoie la partie plaignante à agir par la voie civile : (a) lorsque la procédure pénale est classée ou close par la procédure de l’ordonnance pénale ou (d) lorsque le prévenu est acquitté alors que l’état de fait n’a pas été suffisamment établi (al. 2).</w:t>
      </w:r>
    </w:p>
    <w:p>
      <w:r>
        <w:t>- 35 -</w:t>
      </w:r>
    </w:p>
    <w:p>
      <w:r>
        <w:rPr>
          <w:b/>
        </w:rPr>
        <w:t>E. 8.3</w:t>
      </w:r>
    </w:p>
    <w:p>
      <w:r>
        <w:t>En l’espèce, dès lors que l’appelant n’est pas reconnu coupable d’infraction à l’interdiction d’exercer une activité pour le cas 6.4, le montant de 3'402 fr. ne peut pas être pris en compte à titre de prétentions civiles. K.________ a toute manière déjà obtenu un acte de défaut de biens pour ses prétentions, de sorte que l’enjeu est symbolique. Appel joint du Ministère public</w:t>
      </w:r>
    </w:p>
    <w:p>
      <w:r>
        <w:rPr>
          <w:b/>
        </w:rPr>
        <w:t>E. 9.1</w:t>
      </w:r>
    </w:p>
    <w:p>
      <w:r>
        <w:t>Le Ministère public estime que, dans le cas 1 de l’acte d’accusation, l’abus de confiance aurait dû être retenu en concours avec l’infraction de gestion déloyale qualifiée. Il relève que l’acte d’accusation distingue bien deux aspects du comportement : le prévenu s’est approprié les loyers payés par les locataires, ce qui constitue un abus de confiance, et n’a pas payé les charges comme il était censé le faire, ce qui est constitutif de gestion déloyale qualifiée puisqu’il s’est enrichi.</w:t>
      </w:r>
    </w:p>
    <w:p>
      <w:r>
        <w:rPr>
          <w:b/>
        </w:rPr>
        <w:t>E. 9.2</w:t>
      </w:r>
    </w:p>
    <w:p>
      <w:r>
        <w:t>La distinction entre l’abus de confiance et la gestion déloyale qualifiée est délicate. La question décisive est en réalité de savoir si l’auteur accomplit un acte qui, quoique déloyal et préjudiciable, demeure dans le cadre de ses prérogatives de gérant ou si, au contraire, l’auteur sort du périmètre qui lui est tracé et détourne les valeurs patrimoniales qui lui ont été confiées. Dans cette dernière hypothèse, il faudra retenir l’abus de confiance, alors qu’il y aura gestion déloyale dans la première (Favre/Pellet/Stoudmann, Code pénal annoté, 3e éd., Lausanne 2007, n. 1.26 ad art. 138 CP ; Dupuis et alii, Petit Commentaire du Code pénal, 2e éd., Bâle 2017, n. 56 ad art. 138 CP).</w:t>
      </w:r>
    </w:p>
    <w:p>
      <w:r>
        <w:rPr>
          <w:b/>
        </w:rPr>
        <w:t>E. 9.3</w:t>
      </w:r>
    </w:p>
    <w:p>
      <w:r>
        <w:t>En l’espèce, il ressort des faits que le prévenu s’est approprié des montants pour ses besoins personnels. S’il n’a pas payé les charges, c’est parce que, ayant détourné l’argent, il ne pouvait plus le faire. C’est donc à tort que les premiers juges ont retenu la gestion déloyale qualifiée en considérant qu’elle absorbait l’abus de confiance. C’est cette dernière</w:t>
      </w:r>
    </w:p>
    <w:p>
      <w:r>
        <w:t>- 36 - infraction qui aurait dû être retenue, à l’exclusion de, et non en concours avec, comme le voudrait le Parquet celle de gestion déloyale qualifiée. Fixation de la peine et sursis</w:t>
      </w:r>
    </w:p>
    <w:p>
      <w:r>
        <w:rPr>
          <w:b/>
        </w:rPr>
        <w:t>E. 10.1</w:t>
      </w:r>
    </w:p>
    <w:p>
      <w:r>
        <w:t>L’appelant estime la peine excessivement sévère. Il n’aurait pas été suffisamment tenu compte des éléments à décharge et des circonstances atténuantes, tandis qu’il aurait été donné un poids prépondérant aux circonstances à charge. La fixation d’une peine indépendante pour les infractions d’escroquerie par métier ne serait pas possible au vu des particularités du cas d’espèce. Il est d’avis que la peine d’ensemble doit être compatible avec et assortie d’un sursis partiel. Le Ministère public s’en prend aussi à la quotité de la peine. Il fait valoir un concours rétrospectif avec les condamnations de 2014 et 2015 et que, s’il partage l’avis des premiers juges s’agissant des compléments de peine à ajouter à celles de 2014 (6 mois) et de 2015 (2 mois), les faits constitutifs d’escroquerie par métier constituent néanmoins un tout s’insérant dans le groupe d’infractions dans lequel prend place le dernier de ces actes (ATF 145 IV 377). Il s’agit du cas 8 de l’acte d’accusation, qui est postérieur aux jugements de 2014 et 2015. Il aurait donc fallu prononcer une peine indépendante pour sanctionner l’ensemble des escroqueries par métier. Vu le montant du dommage de plus de 500'000 fr., les nombreux lésés et la récidive, le prévenu aurait dû être condamné à 2 ans, peine à laquelle il faudrait ajouter 6 mois pour tenir compte du concours avec les cas du chiffre 6 et une partie de l’abus de confiance et de gestion déloyale du cas 1. En définitive, il demande que le prévenu soit condamné à une peine d’ensemble de 2,5 avec celle prononcée le 22 décembre 2014, à une peine d’ensemble de 6 mois avec celle prononcée le 17 août 2015 et à une peine indépendante de 2,5 ans, soit au total 5,5 ans de peine privative de liberté au lieu de 5.</w:t>
      </w:r>
    </w:p>
    <w:p>
      <w:r>
        <w:rPr>
          <w:b/>
        </w:rPr>
        <w:t>E. 10.2</w:t>
      </w:r>
    </w:p>
    <w:p>
      <w:r>
        <w:t>- 37 -</w:t>
      </w:r>
    </w:p>
    <w:p>
      <w:r>
        <w:rPr>
          <w:b/>
        </w:rPr>
        <w:t>E. 10.2.1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w:t>
      </w:r>
    </w:p>
    <w:p>
      <w:r>
        <w:t>- 38 -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 TF 6B_144/2019 du 17 mai 2019 consid. 4.3.1). Si, en revanche, l'art. 49 al. 2 CP ne peut être appliqué, ainsi parce que le genre de peine envisagé pour sanctionner les</w:t>
      </w:r>
    </w:p>
    <w:p>
      <w:r>
        <w:t>- 39 -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 Selon une récente jurisprudence du Tribunal fédéral, lorsqu'un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Ainsi, lorsqu'un auteur a commis plusieurs escroqueries – justifiant l'application de l'art. 146 al. 2 CP – entrecoupées par une condamnation indépendante, l'intéressé doit uniquement se voir condamné pour escroquerie par métier et l'art. 49 al. 2 ne trouve pas application. Notre Haute cour a justifié cette solution en relevant que l'art. 49 CP ne permettait pas au juge, en cas de concours réel rétrospectif partiel, de qualifier les faits en fonction des groupes d'infractions considérés. En d'autres termes, si le juge estime que l'auteur doit être condamné pour escroquerie par métier en raison de diverses escroqueries, le fait que certains actes ont été commis avant une précédente condamnation ne saurait conduire à remettre en cause leur qualification juridique, par exemple en considérant qu'ils ne suffiraient pas, en eux-mêmes, à fonder une aggravante du métier. Le Tribunal fédéral en a conclu qu'en matière de fixation de la peine, il convenait de regarder une infraction d'escroquerie par métier comme un tout (ATF 145 IV 377 consid. 2.3.3).</w:t>
      </w:r>
    </w:p>
    <w:p>
      <w:r>
        <w:rPr>
          <w:b/>
        </w:rPr>
        <w:t>E. 10.2.3</w:t>
      </w:r>
    </w:p>
    <w:p>
      <w:r>
        <w:t>Aux termes de l’art. 46 al. 1 CP, si, durant le délai d’épreuve, le condamné commet un crime ou un délit et qu’il y a dès lors lieu de</w:t>
      </w:r>
    </w:p>
    <w:p>
      <w:r>
        <w:t>- 40 -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6B_1400/2017 du 26 mars 2018 consid. 2.2).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w:t>
      </w:r>
    </w:p>
    <w:p>
      <w:r>
        <w:t>- 41 - non l'exécution de l'autre peine (TF 6B_291/2020 du 15 mai 2020 consid. 2.3).</w:t>
      </w:r>
    </w:p>
    <w:p>
      <w:r>
        <w:rPr>
          <w:b/>
        </w:rPr>
        <w:t>E. 10.3</w:t>
      </w:r>
    </w:p>
    <w:p>
      <w:r>
        <w:t>En l’espèce, les précédents sursis doivent être révoqués, le prévenu n’ayant jamais cessé son activité délictueuse au fil des ans. Le jugement est bien motivé sur ces questions, de sorte qu’on peut renvoyer à sa motivation (pp. 56-57 ; art. 82 al. 4 CPP). Cela implique déjà l’exécution de 2 ans et 4 mois de prison. Vu le nombre et la gravité des infractions, une peine privative de liberté s’impose pour la présente cause. On peut également renvoyer aux éléments à charge et décharge retenus par les premiers juges, hormis la diminution légère de responsabilité qui doit être retenue comme élément atténuant la culpabilité et non comme élément à décharge. Le complément de 6 mois à la condamnation de 2014 peut demeurer inchangé, car il y a l’abus de confiance du cas 1 en plus. Le complément de 60 jours à la condamnation de 2015 (P. 81/4) peut être réduit à 30 jours puisqu’il y a moins de cas de l’art. 294 CP mais toujours l’abus de confiance du cas 1. Pour les motifs évoqués au paragraphe précédent, l’exécution des deux compléments de peine ne permet pas de renoncer à révoquer les sursis précédents non plus. Concernant la nouvelle peine, le remplacement de la qualification de gestion déloyale par celle d’abus de confiance pour le cas 1 n’entraîne aucune aggravation. La peine indépendante pour l’escroquerie par métier et pour les infractions postérieures à la condamnation de 2015 peut être fixée à 20 mois au lieu de 2 ans. Il est indéniable que l’octroi d’un sursis, même partiel, sur cette nouvelle peine n’aura aucun effet de choc salutaire sur le futur comportement de l’appelant, puisque celui-ci persiste depuis de nombreuses années dans ses activités délictueuses en dépit des condamnations prononcées. Il n’a même pas tiré de leçon des 18 jours de détention provisoire subis en novembre 2017.</w:t>
      </w:r>
    </w:p>
    <w:p>
      <w:r>
        <w:t>- 42 - En définitive, la peine privative de liberté totale (2 ans et 4 mois, 6 mois, 30 jours et 20 mois) sera arrondie à 4,5 ans. Enfin, vu que l’appelant est libéré de la contravention à la LPAv, l’amende de 500 fr., convertible en 5 jours de peine privative de liberté de substitution en cas de non-paiement fautif dans le délai imparti, est abandonnée.</w:t>
      </w:r>
    </w:p>
    <w:p>
      <w:r>
        <w:rPr>
          <w:b/>
        </w:rPr>
        <w:t>E. 11</w:t>
      </w:r>
    </w:p>
    <w:p>
      <w:r>
        <w:t>Frais de première instance</w:t>
      </w:r>
    </w:p>
    <w:p>
      <w:r>
        <w:rPr>
          <w:b/>
        </w:rPr>
        <w:t>E. 11.1</w:t>
      </w:r>
    </w:p>
    <w:p>
      <w:r>
        <w:t>X.________ conclut à ce que la part des frais de première instance mise à sa charge soit réduite.</w:t>
      </w:r>
    </w:p>
    <w:p>
      <w:r>
        <w:rPr>
          <w:b/>
        </w:rPr>
        <w:t>E. 11.2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w:t>
      </w:r>
    </w:p>
    <w:p>
      <w:r>
        <w:rPr>
          <w:b/>
        </w:rPr>
        <w:t>E. 11.3</w:t>
      </w:r>
    </w:p>
    <w:p>
      <w:r>
        <w:t>En l’espèce, l’appelant est libéré du chef de prévention d’infraction à l’art. 294 CP pour les cas 6.1 à 6.6, 6.8 et 6.11 et du chef de prévention de contravention à la LPav pour le cas 6.12. Il convient de réduire d’un dixième les frais de première instance puisque la peine est réduite dans cette proportion. Par conséquent, c’est la somme de 26'121</w:t>
      </w:r>
    </w:p>
    <w:p>
      <w:r>
        <w:t>- 43 - fr. 55 (9/10e de 29'023 fr. 95) qui sera mise à la charge du prévenu, laquelle comprend l’indemnité de son défenseur d’office.</w:t>
      </w:r>
    </w:p>
    <w:p>
      <w:r>
        <w:rPr>
          <w:b/>
        </w:rPr>
        <w:t>E. 12</w:t>
      </w:r>
    </w:p>
    <w:p>
      <w:r>
        <w:t>Mesures</w:t>
      </w:r>
    </w:p>
    <w:p>
      <w:r>
        <w:rPr>
          <w:b/>
        </w:rPr>
        <w:t>E. 12.1</w:t>
      </w:r>
    </w:p>
    <w:p>
      <w:r>
        <w:t>Le Ministère public demande que, pour protéger le public, il soit à nouveau fait interdiction au prévenu d’exercer les professions d’avocat, de gérant de fortune et d’affaires et d’intermédiaire financier pendant 5 ans et que le jugement soit publié dans les presses vaudoise et tessinoise.</w:t>
      </w:r>
    </w:p>
    <w:p>
      <w:r>
        <w:rPr>
          <w:b/>
        </w:rPr>
        <w:t>E. 12.2.1</w:t>
      </w:r>
    </w:p>
    <w:p>
      <w:r>
        <w:t>Selon l’art. 67 al. 1 CP, si l’auteur a commis un crime ou un délit dans l’exercice d’une activité professionnelle ou d’une activité non professionnelle organisée et qu’il a été condamné pour cette infraction à une peine privative de liberté de plus de six mois (avant 2018 : ou à une peine pécuniaire de plus de 180 jours-amende), le juge peut lui interdire totalement ou partiellement l’exercice de cette activité ou d’activités comparables pour une durée de six mois à cinq ans, s’il y a lieu de craindre qu’il commette un nouveau crime ou délit dans l’exercice de cette activité. L’infraction est commise dans l’exercice d’une activité professionnelle lorsque le délinquant viole les obligations qui y sont liées. Il suffit que l’auteur abuse de son activité pour poursuivre des objectifs contraires à ses tâches. Le champ d’application de cette disposition n’englobe en revanche pas les personnes qui n’abusent que du prestige conféré par une profession pour commettre des infractions en dehors de leur activité professionnelle (Dupuis et alii, op. cit., n. 10 ad art. 67 CP).</w:t>
      </w:r>
    </w:p>
    <w:p>
      <w:r>
        <w:rPr>
          <w:b/>
        </w:rPr>
        <w:t>E. 12.2.2</w:t>
      </w:r>
    </w:p>
    <w:p>
      <w:r>
        <w:t>Selon l’art. 68 al. 1 CP, si l’intérêt public, l’intérêt du lésé ou l’intérêt de la personne habilitée à porter plainte l’exige, le juge ordonne la publication du jugement aux frais du condamné. Il y a par exemple un intérêt public lorsque le public doit être mis en garde, par exemple en cas de malversations d’un avocat (Dupuis et alii, op. cit., n. 6 ad art. 68 CP).</w:t>
      </w:r>
    </w:p>
    <w:p>
      <w:r>
        <w:t>- 44 -</w:t>
      </w:r>
    </w:p>
    <w:p>
      <w:r>
        <w:rPr>
          <w:b/>
        </w:rPr>
        <w:t>E. 12.3</w:t>
      </w:r>
    </w:p>
    <w:p>
      <w:r>
        <w:t>En l’espèce, l’appelant a commis un abus de confiance en tant qu’avocat de ses clients A.L.________ et B.L.________, pour des faits s’étendant de 2004 à 2016 (cas 1). Il convient par conséquent de prononcer à son encontre une interdiction d’exercer la profession d’avocat pendant 5 ans. Il n’apparaît pas opportun d’ordonner la publication de cette interdiction puisque l’appelant est incarcéré depuis septembre 2020 et qu’il le restera au moins jusqu’à l’exécution des deux tiers de sa peine (art. 86 al. 1 CP), sous déduction de 22 jours de détention subis avant jugement et de 3 jours de détention subis dans des conditions de détention illicites.</w:t>
      </w:r>
    </w:p>
    <w:p>
      <w:r>
        <w:rPr>
          <w:b/>
        </w:rPr>
        <w:t>E. 13</w:t>
      </w:r>
    </w:p>
    <w:p>
      <w:r>
        <w:t>Conformément à l’art. 51 CP, la détention subie depuis le jugement de première instance sera déduite de la peine privative de liberté prononcée. Vu le risque de fuite, le maintien en détention de X.________ est ordonné pour des motifs de sûreté afin de garantir l’exécution de la peine (art. 220 al. 2 CPP).</w:t>
      </w:r>
    </w:p>
    <w:p>
      <w:r>
        <w:rPr>
          <w:b/>
        </w:rPr>
        <w:t>E. 14</w:t>
      </w:r>
    </w:p>
    <w:p>
      <w:r>
        <w:t>Il résulte de ce qui précède que les appels de X.________ et du Ministère public doivent être partiellement admis et le jugement entrepris réformé dans le sens des considérants qui précèdent. Me Ludovic Tirelli, défenseur d'office de X.________, a produit une liste d'opérations indiquant 25 h 30 d'activité, à laquelle il faut ajouter 2 h 30 pour l'audience d'appel.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5'040 francs. Il faut y ajouter 2 % pour les débours, soit 100 fr. 80, trois vacations à 120 fr. et la TVA de 7,7% sur le tout, ce qui totalise 5'924 fr. 35.</w:t>
      </w:r>
    </w:p>
    <w:p>
      <w:r>
        <w:t>- 45 - Vu l'issue de la cause, les frais d'appel, comprenant l'émolument par 4'330 fr. (art. 21 TFIP) et l'indemnité du défenseur d'office par 5'924 fr. 35, soit au total 10'254 fr. 35, sont mis par trois quarts à la charge de l'appelant, qui succombe partiellement (art. 428 al. 1 CPP), le solde étant laissé à la charge de l'Etat. X.________ ne sera tenu de rembourser les trois quarts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