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PE16.009066 vom 31. August 2016</w:t>
      </w:r>
    </w:p>
    <w:p>
      <w:r>
        <w:t>VD Tribunal cantonal, 2016-08-31, FR</w:t>
      </w:r>
    </w:p>
    <w:p>
      <w:r>
        <w:rPr>
          <w:b/>
        </w:rPr>
        <w:t xml:space="preserve">Quelle: </w:t>
      </w:r>
      <w:r>
        <w:t>https://mcp.opencaselaw.ch/entscheid/vd_gerichte_PE16.009066</w:t>
      </w:r>
    </w:p>
    <w:p>
      <w:r>
        <w:t>FR: VD_GERICHTE PE16.009066 du 31 août 2016</w:t>
      </w:r>
    </w:p>
    <w:p>
      <w:r>
        <w:t>IT: VD_GERICHTE PE16.009066 del 31 agosto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w:t>
      </w:r>
    </w:p>
    <w:p>
      <w:r>
        <w:t>- 5 -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3.1</w:t>
      </w:r>
    </w:p>
    <w:p>
      <w:r>
        <w:t>Le recourant soutient que les infractions de lésions corporelles graves (art. 122 CP), de lésions corporelles simples (art. 123 CP), de lésions corporelles par négligence (art. 125 CP) et de violation des règles de l'art de construire (art. 229 CP) entreraient en ligne de compte. Il fait valoir qu'il aurait prouvé avoir subi des lésions corporelles et se réfère à cet égard au certificat médical produit. Il expose en outre que les prévenus auraient manifesté une imprévoyance coupable en l’exposant à des nuisances sonores extrêmes durant une période largement supérieure à une semaine, ce qui serait contraire à la Directive sur le bruit des chantiers de l’Office fédéral de l’environnement. L’Ordonnance sur la protection contre le bruit n’aurait pas non plus été respectée. Quant à l’élément subjectif, le recourant invoque que les différents intervenants auraient été informés des nuisances qu’il subissait et des souffrances en découlant, de sorte que le dol éventuel devrait être retenu à ce stade. En dernier lieu, le recourant se plaint d’une constatation erronée des faits. Le chantier ne se serait pas limité à l'immeuble situé à [...], mais il se serait étendu dans l’immeuble même où se trouvaient les locaux de substitution, à la rue [...]. En outre, le recourant travaillerait tous les jours ouvrables et non pas seulement à partir du mercredi.</w:t>
      </w:r>
    </w:p>
    <w:p>
      <w:r>
        <w:rPr>
          <w:b/>
        </w:rPr>
        <w:t>E. 3.2</w:t>
      </w:r>
    </w:p>
    <w:p>
      <w:r>
        <w:t>- 6 -</w:t>
      </w:r>
    </w:p>
    <w:p>
      <w:r>
        <w:rPr>
          <w:b/>
        </w:rPr>
        <w:t>E. 3.2.1</w:t>
      </w:r>
    </w:p>
    <w:p>
      <w:r>
        <w:t>Selon l’art. 122 CP, se rend coupable de lésions corporelles graves notamment celui qui, intentionnellement, aura blessé une personne de façon à mettre sa vie en danger ou causé à une personne une incapacité de travail, une infirmité ou une maladie mentale permanentes, ainsi que celui qui, intentionnellement, aura fait subir à une personne toute autre atteinte grave à l’intégrité corporelle ou à la santé physique ou mentale. Cette infraction est réalisée lorsque quatre éléments sont réunis : un comportement dangereux de l’auteur, une atteinte grave à l’intégrité physique ou à la santé, un lien de causalité naturelle et adéquate entre le comportement de l’auteur et l’atteinte ainsi qu’une intention (Dupuis et alii, Petit commentaire du Code pénal, Bâle 2012, n. 2 ad art. 122 CP). Le trouble doit être permanent, à savoir durable et non limité dans le temps. Une incapacité de travail est permanente si l'auteur n'est plus dans un état qui lui permette d'exercer son travail habituel (Corboz, Les infractions en droit suisse, 3e éd., vol. I, Berne 2010, n. 10 ad art. 122 CP).</w:t>
      </w:r>
    </w:p>
    <w:p>
      <w:r>
        <w:rPr>
          <w:b/>
        </w:rPr>
        <w:t>E. 3.2.2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1.4 ; ATF 119 IV 25 consid. 2a).</w:t>
      </w:r>
    </w:p>
    <w:p>
      <w:r>
        <w:rPr>
          <w:b/>
        </w:rPr>
        <w:t>E. 3.2.3</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t>- 7 - L’infraction de lésions corporelles par négligence consiste dans le fait de causer à autrui, par négligence, des lésions corporelles au sens de l'art. 123 CP. Elle est réalisée lorsque trois éléments constitutifs sont réunis : une négligence, soit une violation des devoirs de la prudence, commise par l'auteur; des lésions corporelles subies par la victime; un lien de causalité naturelle et adéquate entre la négligence et les lésions (Corboz, op. cit., nn. 2 à 7 ad art. 125 CP; Dupuis et alii, op. cit., n. 2 ad art. 125 CP). L'infraction visée par l'art. 125 CP est une infraction de résultat, qui suppose en général une action. Elle peut cependant aussi être réalisée par omission, lorsque l'auteur avait une position de garant, c'est- à-dire l'obligation juridique d'agir pour prévenir le résultat dommageable, laquelle peut résulter de la loi, d'un contrat ou des principes généraux, et lorsqu'il n'a pas empêché ce résultat de se produire, alors qu'il le pouvait (cf. art. 11 CP; ATF 133 IV 158 consid. 5.1; ATF 113 IV 68 consid.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ATF 135 IV 56 consid. 2.1, JdT 2010 IV 43;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ATF 129 IV 119 consid. 2.1; TF 6B_934/2009 du 22 décembre 2009 consid. 1.1). S’il y a eu violation des règles de la prudence, encore faut-il que celle-ci puisse être imputée à faute, c’est-à-dire que l'on puisse reprocher à l'auteur, compte tenu de ses circonstances personnelles,</w:t>
      </w:r>
    </w:p>
    <w:p>
      <w:r>
        <w:t>- 8 - d'avoir fait preuve d'un manque d'effort blâmable (ATF 122 IV 145 consid. 3b). Cette violation doit encore se trouver en rapport de causalité naturelle et adéquate avec le résultat de l'infraction, soit des lésions corporelles (ATF 135 IV 56 consid. 2.1, JdT 2010 IV 43).</w:t>
      </w:r>
    </w:p>
    <w:p>
      <w:r>
        <w:rPr>
          <w:b/>
        </w:rPr>
        <w:t>E. 3.2.4</w:t>
      </w:r>
    </w:p>
    <w:p>
      <w:r>
        <w:t>L'art. 229 CP punit celui qui, intentionnellement (al. 1) ou par négligence (al. 2), aura enfreint les règles de l'art en dirigeant ou en exécutant une construction ou une démolition et aura par-là mis en danger la vie ou l'intégrité corporelle des personnes. La violation des règles de l'art de construire au sens de l'art. 229 CP réprime la création d'un danger collectif contre la vie et l'intégrité des personnes dans le domaine particulier d'activité qu'est la construction. Cette infraction est réalisée lorsque quatre éléments sont réunis : la direction ou l'exécution d'une construction ou d'une démolition, une violation des règles de l'art, une mise en danger de la vie ou de l'intégrité corporelle des personnes et un lien de causalité naturelle et adéquate entre la négligence et la mise en danger (cf. Corboz, op. cit., n. 1 ad art 229 CP). La violation des règles de l'art consiste à enfreindre les règles édictées par l'ordre juridique en vue d'éviter des accidents liés à une construction ou à une démolition. Il s'agit non seulement des règles destinées à protéger les utilisateurs lorsque la construction sera achevée, mais également des règles assurant la sécurité sur le chantier. Ces règles peuvent émaner d'association privées ou semi-publiques lorsqu'elles sont reconnues ; en l'absence de règles spécifiques, il faut se demander de quelle manière procéderait en pareilles circonstances une personne disposant des connaissances adéquates. L'art. 229 CP sanctionne ainsi également la violation des règles ne résultant pas de prescriptions juridiques, mais d'un enseignement professionnel (Corboz, op. cit., nn. 11- 15 ad art. 229 CP et les références citées). L'art. 229 CP exige que la violation des règles de l'art ait causé, même par omission, une mise en danger concrète de la vie ou de</w:t>
      </w:r>
    </w:p>
    <w:p>
      <w:r>
        <w:t>- 9 - l'intégrité corporelle. En ce sens, il s'agit d'une infraction de résultat. La mise en danger d'une seule personne suffit. Il n'est pas nécessaire que le cercle des personnes visées soit déterminé à l'avance ; il ne suffit en revanche pas que l'auteur ait seul été mis en danger (Corboz, op. cit., n. 27 ad art. 229 CP). La mise en danger de la vie ou de l'intégrité des personnes doit en outre se trouver dans un rapport de causalité naturelle et adéquate avec le comportement de l'auteur. A ce qui a été dit précédemment sur cette question particulière (consid. 4.1), on peut ajouter que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 ATF 131 IV 145 consid. 5.2 ; ATF 122 IV 17 consid. 2c/bb). S'agissant de l'élément subjectif, l'infraction intentionnelle requiert, outre la connaissance de la violation d'une règle de l'art ou l'acceptation de cette éventualité, que l'auteur sache en plus qu'il en résultera un danger pour la vie ou l'intégrité corporelle, ce qui revient à vouloir cette mise en danger ; le dol éventuel ne suffit à cet égard pas (Dupuis et al. [éd.], op. cit., n. 34 ad art. 229 CP ; Roelli/Fleischanderl, in : Niggli/Wiprächtiger [éd.], Basler Kommentar, Strafrecht II, 3e éd., Bâle 2013, n. 45 ad art. 229 CP). Quant à la négligence, elle se conçoit tant au stade de l'inobservation des règles de l'art que de la prise de conscience</w:t>
      </w:r>
    </w:p>
    <w:p>
      <w:r>
        <w:t>- 10 - du danger pour la vie ou l'intégrité des personnes. Il y a en particulier négligence si l'accusé n'a pas eu conscience de ce danger, mais qu'il aurait pu et dû en avoir conscience. La doctrine admet qu'il y a toujours négligence lorsque l'auteur a violé intentionnellement une règle de l'art, mais qu'il croyait par négligence qu'il n'en résulterait aucun danger pour la vie ou l'intégrité corporelle (Corboz, op. cit., n. 35 ad art. 229 CP).</w:t>
      </w:r>
    </w:p>
    <w:p>
      <w:r>
        <w:rPr>
          <w:b/>
        </w:rPr>
        <w:t>E. 3.3</w:t>
      </w:r>
    </w:p>
    <w:p>
      <w:r>
        <w:t>En l'espèce, les éléments objectifs des infractions considérées ne sont pas réalisés. Le seul certificat médical produit par le recourant n'est en effet pas suffisant pour admettre la survenance d'une atteinte concrète à la santé ou d'une mise en danger de son intégrité. Ce document comporte en effet essentiellement un résumé des déclarations du patient à son praticien. Quant à la légère baisse perceptionnelle de l'audition gauche, rien ne permet d'affirmer qu'elle est en lien avec les nuisances sonores auxquelles le recourant a été exposé. En outre, quand bien même cette atteinte découlerait des immissions provoquées par les travaux litigieux, ce qui n'est pas avéré, le comportement du recourant serait de nature à rompre ce lien de causalité. D'une part, ce dernier ne prétend pas avoir adopté des protections spécifiques, telles que préconisées par son médecin, afin d'éviter des traumatismes au niveau de l'oreille. D'autre part, l'indemnité forfaitaire de 60'000 fr. versée à la société du recourant par la société Z.________SA servait précisément à couvrir le dommage consécutif aux immissions provoquées par les travaux en question. Autrement dit, rien n'obligeait le recourant à subir les nuisances prétendument intolérables, puisque l'indemnité en question servait à couvrir les frais et pertes de gain en résultant. Certes, le recourant indique, sans l'établir, que la planification des travaux a été modifiée après la signature de la convention du 17 janvier 2012. Par ce biais, il semble se prévaloir du fait que l'indemnité ne couvrirait pas le dommage effectivement subi. La voie pénale n'est toutefois pas adéquate pour modifier les termes de la convention précitée et tenter d'obtenir ainsi une indemnité plus importante que celle convenue initialement entre les parties.</w:t>
      </w:r>
    </w:p>
    <w:p>
      <w:r>
        <w:t>- 11 - Enfin, l'élément subjectif fait défaut pour les infractions prévues aux art. 122, 123 et 229 al. 1 CP. Le recourant ne présente aucun indice concret de nature à faire supposer que le comportement des responsables du chantier, selon lui répréhensible, était à la fois intentionnel et susceptible d'entraîner de véritables lésions autres que les désagréments habituels engendrés par des travaux d'une telle ampleur. On ne saurait en outre reprocher à la propriétaire de l'immeuble de ne pas avoir pris les mesures qui s'imposaient à elle. En effet, le respect des directives fédérales sur le bruit des chantiers et sur la protection de l'air sur les chantiers n'exclut pas que les immissions inévitables de poussières et de bruit provoquées par des travaux de l'ampleur de ceux effectués en l'espèce puissent être excessives au sens de l'art. 684 CC. C'est donc en connaissance de cause que la société Z.________SA a dans un premier temps résilié les baux de ses locataires, puis conclu avec le recourant une convention prévoyant le versement à ce dernier d'une indemnité forfaitaire de 60'000 francs servant à couvrir le dommage subi. Les démarches effectuées par cette société démontre qu'elle n'avait nulle intention, même par dol éventuel, de causer des lésions au recourant. Les éléments constitutifs des infractions des art. 122, 123, 125 et 229 CP ne sont donc manifestement pas réalisés. Pour ce motif, les infractions des art. 122, 123 et 229 al. 1 CP ne peuvent pas non plus être envisagées sous forme de tentative (art. 22 CP), qui est dans tous les cas exclue pour les infractions des art. 125 et 229 al. 2 CP qui impliquent la négligence. Par conséquent, le refus de la procureure d’entrer en matière sur la plainte pénale du recourant ne prête pas le flanc à la critique.</w:t>
      </w:r>
    </w:p>
    <w:p>
      <w:r>
        <w:rPr>
          <w:b/>
        </w:rPr>
        <w:t>E. 4</w:t>
      </w:r>
    </w:p>
    <w:p>
      <w:r>
        <w:t>Il résulte de ce qui précède que le recours doit être rejeté et l’ordonnance attaquée confirmée. Les frais de la procédure de recours, constitués en l’espèce du seul émolument d'arrêt (art. 422 al. 1 CPP), par 1'210 fr. (art. 20 al. 1 TFIP [tarif des frais de procédure et indemnités en matière pénale du 28 septembre 2010 ; RSV 312.03.1]), seront mis à la charge du recourant, qui succombe (art. 428 al. 1 CPP).</w:t>
      </w:r>
    </w:p>
    <w:p>
      <w:r>
        <w:t>- 12 - Par ces motifs, la Chambre des recours pénale prononce : I. Le recours est rejeté. II. L'ordonnance du 16 juin 2016 est confirmée. III. Les frais d'arrêt, par 1'210 fr. (mille deux cent dix francs), sont mis à la charge de H.________. IV. L’arrêt est exécutoire. Le président : La greffière : Du Le présent arrêt, dont la rédaction a été approuvée à huis clos, est notifié, par l'envoi d'une copie complète, à : - Me Laurent Maire, avocat (pour 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