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PE16.009061 vom 16. August 2016</w:t>
      </w:r>
    </w:p>
    <w:p>
      <w:r>
        <w:t>VD Tribunal cantonal, 2016-08-16, FR</w:t>
      </w:r>
    </w:p>
    <w:p>
      <w:r>
        <w:rPr>
          <w:b/>
        </w:rPr>
        <w:t xml:space="preserve">Quelle: </w:t>
      </w:r>
      <w:r>
        <w:t>https://mcp.opencaselaw.ch/entscheid/vd_gerichte_PE16.009061</w:t>
      </w:r>
    </w:p>
    <w:p>
      <w:r>
        <w:t>FR: VD_GERICHTE PE16.009061 du 16 août 2016</w:t>
      </w:r>
    </w:p>
    <w:p>
      <w:r>
        <w:t>IT: VD_GERICHTE PE16.009061 del 16 agosto 2016</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w:t>
      </w:r>
    </w:p>
    <w:p>
      <w:r>
        <w:t>- 3 - art. 20 al. 1 let. b CPP), qui est, dans le canton de Vaud, la Chambre des recours pénale du Tribunal cantonal (art. 13 LVCPP [loi vaudoise d’introduction du Code de procédure pénale suisse; RSV 312.01]; art. 80 LOJV [loi vaudoise d’organisation judiciaire; RSV 173.01]). Le recours a été interjeté, dans le délai légal, par le prévenu qui a la qualité pour recourir au sens de l’art. 382 al. 1 CPP nonobstant sa libération, s’agissant en particulier du sort des frais de la procédure pénale (Juge unique CREP 10 août 2015/577; Juge unique CREP 5 février 2014/96). Partant, le recours est recevable.</w:t>
      </w:r>
    </w:p>
    <w:p>
      <w:r>
        <w:rPr>
          <w:b/>
        </w:rPr>
        <w:t>E. 1.2</w:t>
      </w:r>
    </w:p>
    <w:p>
      <w:r>
        <w:t>Le recours ne porte pas sur le classement de la procédure, mais uniquement sur la mise à la charge du recourant des frais de justice. S’agissant de conséquences économiques accessoires de la décision (cf. Stephenson/Thiriet, in : Niggli/Heer/Wiprächtiger [éd.], Basler Kommentar, Schweizerische Strafprozess-ordnung, Jugendstrafprozessordnung, Art. 196-457 StPO – Art. 1-54 JStPO, 2e éd., Bâle 2014, n. 5 ad art. 395 CPP; Juge unique CREP 23 octobre 2013/643), l’art. 395 al. 1 let. b CPP entre en considération. Compte tenu de la valeur litigieuse, qui n’excède pas 5'000 fr., le recours relève de la compétence d’un juge unique de la Chambre des recours pénale du Tribunal cantonal (cf. art. 395 let. b CPP, a contrario, et art. 13 al. 2 LVCPP [loi d’introduction du Code de procédure pénale suisse; RSV 312.01]).</w:t>
      </w:r>
    </w:p>
    <w:p>
      <w:r>
        <w:rPr>
          <w:b/>
        </w:rPr>
        <w:t>E. 2.1</w:t>
      </w:r>
    </w:p>
    <w:p>
      <w:r>
        <w:t>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- 4 -</w:t>
      </w:r>
    </w:p>
    <w:p>
      <w:r>
        <w:rPr>
          <w:b/>
        </w:rPr>
        <w:t>E. 2.2</w:t>
      </w:r>
    </w:p>
    <w:p>
      <w:r>
        <w:t>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consid. 1b; ATF 116 Ia 162 consid. 2c), pour autant que ce comportement ne viole pas uniquement une obligation contractuelle (ATF 74 II 23 consid. 1b, JdT 1948 I 354). En effet, la seule violation d’une violation contractuelle ne constitue pas un acte illicite au sens de l’art. 41 CO (ibid.). Le fait reproché doit constituer une violation claire de la norme de comportement (ATF 119 Ia 332 consid. 1b; ATF 116 Ia 162 consid. 2d). L'acte répréhensible n'a pas à être commis intentionnellement. La négligence suffit, sans qu'il soit besoin qu'elle soit grossière (ATF 109 Ia 160 consid. 4a). L'acte répréhensible doit en outre se trouver dans une relation de causalité adéquate avec l'ouverture de l'enquête ou les obstacles mis à celle-ci. Tel est notamment le cas lorsque le comportement du prévenu, violant clairement des prescriptions écrites fédérales ou cantonales, était propre à faire naître, selon le cours ordinaire des choses et l'expérience de la vie, le soupçon d'un comportement</w:t>
      </w:r>
    </w:p>
    <w:p>
      <w:r>
        <w:t>- 5 - punissable justifiant l'ouverture d'une enquête pénale (ATF 116 Ia 162 consid. 2c; cf. également CREP 16 septembre 2013/578 consid. 2a).</w:t>
      </w:r>
    </w:p>
    <w:p>
      <w:r>
        <w:rPr>
          <w:b/>
        </w:rPr>
        <w:t>E. 2.3.1</w:t>
      </w:r>
    </w:p>
    <w:p>
      <w:r>
        <w:t>En l’espèce, le Procureur a considéré, quant au sort de l’action pénale, que l’instruction n’avait pas permis d’établir que le prévenu avait eu un dessein dolosif en conservant le véhicule stipulé vendu tout en ne payant pas le solde du prix convenu. Quant aux conséquences économiques accessoires, le Procureur a retenu que, par son comportement illicite et fautif, le prévenu avait donné lieu à l’ouverture de l’enquête.</w:t>
      </w:r>
    </w:p>
    <w:p>
      <w:r>
        <w:rPr>
          <w:b/>
        </w:rPr>
        <w:t>E. 2.3.2</w:t>
      </w:r>
    </w:p>
    <w:p>
      <w:r>
        <w:t>Il n’y a pas matière à mettre des frais à la charge du prévenu nonobstant sa libération. En effet, on ne distingue aucun comportement blâmable, soit un acte civilement illicite extracontractuel (art. 41 CO), portant atteinte à des intérêts juridiquement protégés du plaignant, qui aurait provoqué l’ouverture de la procédure ou rendu plus difficile la conduite de celle-ci. En effet, on ne voit pas quelle norme de l’ordre juridique aurait violé le recourant en différant le versement du solde du prix de vente stipulé, puis en se départissant du contrat et en restituant le véhicule au promettant-vendeur, étant précisé qu’une éventuelle violation de ses obligations contractuelles ne suffit à cet égard pas. De même, la question d’une telle violation n’a pas à être tranchée faute d’être de nature à influer sur le sort des frais de procédure. S’agissant ainsi d’un litige purement civil, la présomption d’innocence commande dès lors de laisser les frais de la procédure pénale à la charge de l’Etat.</w:t>
      </w:r>
    </w:p>
    <w:p>
      <w:r>
        <w:rPr>
          <w:b/>
        </w:rPr>
        <w:t>E. 3</w:t>
      </w:r>
    </w:p>
    <w:p>
      <w:r>
        <w:t>Il résulte de ce qui précède que le recours doit être admis et l’ordonnance du 19 juillet 2016 réformée en ce sens que les frais de procédure sont laissés à la charge de l’Etat; l’ordonnance est maintenue pour le surplus. Les frais de la procédure de recours, constitués en l’espèce de l'émolument d'arrêt (art. 422 al. 1 CPP), par 540 fr. (art. 20 al. 1 TFIP [tarif</w:t>
      </w:r>
    </w:p>
    <w:p>
      <w:r>
        <w:t>- 6 - des frais de procédure et indemnités en matière pénale du 28 septembre 2010; RSV 312.03.1]), seront laissés à la charge de l’Etat (art. 423 et 428 al. 1 CPP). Pour le reste, il n’y a pas lieu à allouer une indemnité d’office à raison de la présente procédure de recours, l’assistance d’un avocat n’étant pas justifiée au vu de l’objet du recours, limité aux conséquences économiques accessoires du classement et particulièrement simple. Par ces motifs, le juge unique prononce : I. Le recours est admis. II. L’ordonnance du 19 juillet 2016 est réformée aux chiffres III et IV de son dispositif en ce sens que les frais de procédure sont laissés à la charge de l’Etat. L’ordonnance est maintenue pour le surplus. III. Les frais d’arrêt, par 540 fr. (cinq cent quarante francs), sont laissés à la charge de l’Etat. IV. L’arrêt est exécutoire. Le juge unique : Le greffier : Du L'arrêt qui précède, dont la rédaction a été approuvée à huis clos, est notifié, par l'envoi d'une copie complète, à : - Me Nicolas Blanc, avocat (pour E.________), - Ministère public central,</w:t>
      </w:r>
    </w:p>
    <w:p>
      <w:r>
        <w:t>- 7 - et communiqué à : - Me Jean-Christophe Diserens, avocat (pour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