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PE16.007702 vom 9. November 2017</w:t>
      </w:r>
    </w:p>
    <w:p>
      <w:r>
        <w:t>VD Tribunal cantonal, 2017-11-09, FR</w:t>
      </w:r>
    </w:p>
    <w:p>
      <w:r>
        <w:rPr>
          <w:b/>
        </w:rPr>
        <w:t xml:space="preserve">Quelle: </w:t>
      </w:r>
      <w:r>
        <w:t>https://mcp.opencaselaw.ch/entscheid/vd_gerichte_PE16.007702</w:t>
      </w:r>
    </w:p>
    <w:p>
      <w:r>
        <w:t>FR: VD_GERICHTE PE16.007702 du 9 novembre 2017</w:t>
      </w:r>
    </w:p>
    <w:p>
      <w:r>
        <w:t>IT: VD_GERICHTE PE16.007702 del 9 novembre 2017</w:t>
      </w:r>
    </w:p>
    <w:p>
      <w:pPr>
        <w:pStyle w:val="Heading2"/>
      </w:pPr>
      <w:r>
        <w:t>Erwägungen</w:t>
      </w:r>
    </w:p>
    <w:p>
      <w:r>
        <w:rPr>
          <w:b/>
        </w:rPr>
        <w:t>E. 15</w:t>
      </w:r>
    </w:p>
    <w:p>
      <w:r>
        <w:t>mai 2016. En outre, le 24 mai 2016, U.________ avait conversé avec un inconnu, auquel il avait notamment dit que lorsqu'il était venu en Suisse, il avait vu une personne venant du même endroit qu'eux aux Nigéria, soit un certain "[...]" qu'il avait également appelé "[...]", et avait demandé à son interlocuteur qu'il parle avec celui-ci, car il avait fait du business avec lui et qu'il n'avait plus de nouvelles le concernant. Le prévenu avait aussi précisé qu'il avait commencé avec de petites quantités pour le business avec "[...]". Compte tenu de ces éléments, il ne fait aucun doute qu'U.________ est venu d'Espagne le 14 mai 2016 livrer de la drogue à D.________. On constate en effet qu'il a utilisé le même mode opératoire le 14 mai 2016 que lorsqu'il livrait de la drogue à E.________, soit qu'il est arrivé en Suisse depuis l'Espagne, qu'il y a séjourné moins de 24 heures, procédant à une livraison avant de repartir. La rencontre avec son interlocuteur en région zurichoise a en outre été très brève, ce qui accrédite la thèse d'une livraison de drogue, tout comme la conversation avec un inconnu le 24 mai 2016 et les photographies de la sonnette d'immeuble de D.________, découvertes dans son téléphone portable. Enfin, il paraît évident qu'il n'a pas fait le trajet depuis l'Espagne pour amener une quantité inférieure à tous ses autres voyages, soit au moins 100 grammes. C'est ainsi à juste titre également que le Tribunal correctionnel a retenu qu'U.________ avait participé à un trafic portant sur 100 grammes de cocaïne en relation avec ce cas. 3.4 En définitive, il faut donc constater que le trafic du prévenu a bien porté sur au minimum 1'260,9 grammes de cocaïne brute, représentant 447,6 grammes de drogue pure.</w:t>
      </w:r>
    </w:p>
    <w:p>
      <w:r>
        <w:t>- 17 - 4. L'appelant conteste ensuite la peine à laquelle il a été condamné. Il soutient en substance que les circonstances personnelles ont été appréciées de manière arbitraire et qu'il ne devrait pas être condamné à une peine privative de liberté supérieure à deux ans. 4.1 Selon l’art. 47 CP (Code pénal du 21 décembre 1937;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En matière de trafic de stupéfiants, il y a lieu de tenir compte plus spécifiquement des éléments suivants. Même si la quantité de drogue ne joue pas un rôle prépondérant, elle constitue un élément important pour la fixation de la peine, qui perd cependant de l’importance au fur et à mesure que l’on s’éloigne de la limite, 18 grammes pour la cocaïne, à partir de laquelle le cas doit être considéré comme grave au sens de l’art.</w:t>
      </w:r>
    </w:p>
    <w:p>
      <w:r>
        <w:rPr>
          <w:b/>
        </w:rPr>
        <w:t>E. 19</w:t>
      </w:r>
    </w:p>
    <w:p>
      <w:r>
        <w:t>al. 2 let. a LStup (cf. ancien art. 19 ch. 2 let. a LStup; ATF 138 IV 100 consid. 3.2) Le type de drogue et sa pureté doivent aussi</w:t>
      </w:r>
    </w:p>
    <w:p>
      <w:r>
        <w:t>- 18 - être pris en considération (ATF 122 IV 299 consid. 2c). Le type et la nature du trafic en cause sont aussi déterminants. L'appréciation est différente selon que l’auteur a agi de manière autonome ou comme membre d’une organisation. Dans ce dernier cas, tant la nature de sa participation que sa position au sein de l’organisation doivent être prises en compte. L’étendue géographique du trafic entre également en considération : l’importation en Suisse de drogue a des répercussions plus graves que le seul transport à l’intérieur des frontières. Enfin, le nombre d’opérations constitue un indice pour mesurer l’intensité du comportement délictueux. Celui qui écoule une fois un kilogramme de drogue sera en principe mois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(TF 6B_107/2013 du 15 mai 2013 consid. 2.1.1; TF 6B_291/2011 du 30 mai 2011 consid. 3.1; TF 6B_265/2010 du 13 août 2010 consid. 2.3). 4.2 En l'espèce, comme l'a à juste titre relevé le Tribunal correctionnel, les faits sont objectivement graves, dès lors que le prévenu a importé en Suisse une quantité de cocaïne dépassant de plus de vingt fois le cas grave et que son activité délictuelle a été intense. Il est vrai également qu'il a peu collaboré et que c'est seulement son interpellation qui a permis de mettre fin à ses agissements. Toutefois, il n'y a pas suffisamment d'éléments concrets permettant d'affirmer qu'il a agi de façon autonome et mis en place son propre réseau; il a ainsi fonctionné comme membre d'une organisation dans le cadre de laquelle il a joué un rôle certes essentiel, mais néanmoins secondaire. En outre, même s'il est évident qu'il a agi pour l'argent, il est apparu sincère lorsqu'il a expliqué qu'il s'était trouvé acculé financièrement, cédant ainsi à la facilité pour entretenir les siens. En ce sens, il n'apparaît pas comme un caïd du trafic de drogue, ni comme un flambeur. Enfin, ses regrets sont apparus sincères, comme sa prise de conscience.</w:t>
      </w:r>
    </w:p>
    <w:p>
      <w:r>
        <w:t>- 19 - Compte tenu de ces éléments, la peine infligée par les premiers juges est trop sévère et une peine privative de liberté de trois ans tient mieux compte des critères légaux à charge et à décharge, conformément à la culpabilité et à la situation personnelle d'U.________. 5. Au vu de la peine fixée au considérant qui précède, se pose la question d'un éventuel sursis partiel à l'exécution de la peine, le sursis complet étant exclu. 5.1 Aux termes de l'art. 43 al. 1 CP, le juge peut suspendre partiellement l'exécution d'une peine privative de liberté d'un an au moins et de trois ans au plus afin de tenir compte de façon appropriée de la faute de l'auteur.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De jurisprudence constante, les conditions subjectives auxquelles l'art. 42 CP soumet l'octroi du sursis intégral s'appliquent également à l'octroi du sursis partiel prévu à l’art. 43 CP (ATF 134 IV 1 consid. 5.3.1; cf. aussi TF 6B_664/2007 du 18 janvier 2008 consid. 3.2.1; 6B_353/2008 du 30 mai 2008 consid. 2.3).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w:t>
      </w:r>
    </w:p>
    <w:p>
      <w:r>
        <w:t>- 20 - chances d’amendement (ATF 134 IV 1 consid. 4.2.1). A cet égard, la prise de conscience de sa faute par l'auteur doit permettre d'augurer d'un changement d'attitude face à ses actes (TF 6B_171/2007 du 23 juillet 2007 consid. 4). Le juge dispose d'un large pouvoir d'appréciation en la matière (TF 6B_392/2016 du 10 novembre 2016; ATF 134 IV 1 consid. 5.2). 5.2 En l'espèce, les éléments au dossier ne permettent pas de poser un pronostic totalement défavorable. Le prévenu n'a pas d'antécédent officiellement répertorié en Suisse et en Espagne et on ne saurait se fonder sur ses déclarations en cours d'enquête pour considérer qu'il aurait déjà trafiqué de la drogue comme l'ont fait les premiers juges. En effet, il a expliqué qu'il avait été détenu provisoirement dans le cadre d'une enquête et relâché parce qu'il avait été arrêté en compagnie d'un autre nigérian qui était en possession de cocaïne, mais a dit que lui-même ne transportait pas de drogue et qu'il n'avait pas été jugé (cf. PV aud. 1 R6 et PV aud. 7 p. 2). De surcroît, son comportement en détention est exemplaire, comme l'atteste le rapport de la Direction de la prison de la Croisée du 12 mars 2018. Enfin, il est apparu à l'audience que le prévenu avait pris conscience de la gravité de ses actes et qu'il les regrettait. Ainsi, la détention déjà subie et l'éloignement de sa famille ont eu l'effet escompté. Il convient dès lors d'assortir la peine du sursis partiel, la part ferme de celle-ci pouvant être fixée à 18 mois, soit la moitié de la durée totale. Le délai d'épreuve sera toutefois de cinq ans, pour tenir compte de la gravité et de l'intensité du comportement délictuel. 6. U.________ est détenu depuis le 11 juillet 2016, soit, à ce jour, depuis vingt mois. Sa libération immédiate doit dès lors être ordonnée pour autant qu'il ne soit pas détenu pour une autre cause. 7. L'appelant a conclu à la restitution d'une montre "Hugo Boss", séquestrée sous fiche no 64'179.</w:t>
      </w:r>
    </w:p>
    <w:p>
      <w:r>
        <w:t>- 21 - 7.1 L'art. 263 al. 1 let. b CPP permet à l'autorité pénale de mettre sous séquestre des objets et des valeurs patrimoniales appartenant au prévenu ou à des tiers, lorsqu'il est probable qu'ils seront utilisés pour garantir le paiement des frais de procédure, des peines pécuniaires, des amendes et des indemnités. Le séquestre à fin de garantie ou en couverture des frais au sens de cette disposition a pour but d’assurer à l’Etat le paiement notamment des frais de procédure (art. 422 CPP), des peines pécuniaires (art. 34 ss CP), des amendes (art. 106 CP) et des autres indemnités (art. 429 ss CPP) que la procédure pénale a pu faire naître à la charge du prévenu (Moreillon/Parein- Reymond, Petit commentaire, Code de procédure pénale, 2e éd., Bâle 2016, n. 13 ad art. 263 CPP). Dans un tel cas, le séquestre peut être ordonné sur tous les biens du prévenu, y compris sur ceux qui n'ont aucun rapport avec l'infraction (Lembo/Julen Berthod, in : Kuhn/Jeanneret [éd.], Commentaire romand, Code de procédure pénale suisse, Bâle 2011, n. 14 ad art. 263 CPP). Réglementé plus précisément à l'art. 268 CPP, la loi impose en cas de séquestre en couverture des frais de tenir compte du revenu et de la fortune du prévenu et d'exclure les valeurs insaisissables au sens des art. 92-94 LP (art. 268 al. 2 et 3 CPP; ATF 141 IV 360). Cet examen se justifie au regard du principe de proportionnalité et découle du respect du minimum vital garanti par le droit fondamental à des conditions minimales d'existence (ATF 141 IV 360 consid. 3.1). 7.2 En l'espèce, U.________ a produit deux quittances d'achat de montres "Hugo Boss" des 10 juillet et 19 décembre 2013, pour respectivement 60 et 123 euros. Au vu de ces éléments, on peut exclure que la montre séquestrée ait été achetée par le prévenu au cours de la période pendant laquelle il a commis des infractions en Suisse et qu'elle soit issue du produit de celles-ci. Cela étant, même si le séquestre peut être ordonné, à</w:t>
      </w:r>
    </w:p>
    <w:p>
      <w:r>
        <w:t>- 22 - certaines conditions, sur tous les biens du prévenu, il ne se justifie pas de le maintenir sur la montre en question, au vu du montant dérisoire qui pourrait en être obtenu. Elle sera dès lors restituée au prévenu. 8. En conséquence, l’appel doit être partiellement admis et le jugement attaqué réformé dans le sens des considérants qui précèdent. Le défenseur d’office d'U.________ a produit en audience une liste d’opérations faisant état d’une activité de 6,5 heures, de 50 fr. de débours forfaitaires, et d'une vacation à 120 fr. pour l'année 2017, ainsi que d'une activité de 10,8 heures, de 15 fr. 90 de frais de photocopies et de deux vacations à 120 fr. pour l'année 2018. La durée comptabilisée pour la rédaction de la déclaration d'appel sera réduite d'une heure puisque ladite déclaration était succincte et les frais relatifs à l'établissement des mémos, qui correspondent à des travaux de secrétariat, ne seront pas pris en compte. Il faut aussi réduire la durée comptabilisée pour l'audience d'appel, qui a été surestimée et il y a lieu d'indemniser un unique montant de 50 fr. à titre de débours forfaitaires pour le tout. En définitive, c’est donc une indemnité d’un montant de 3'178 fr. 25, correspondant à 5,1 heure d’activité à 180 fr. de l'heure, à 50 fr. de débours, à 120 fr. de vacation et à 87 fr. 05 de TVA pour l'année 2017, et à 9 heures d'activité à 180 fr. de l'heure, à 240 fr. de vacation et à 143 fr. 20 de TVA pour l'année 2018 qui doit être allouée à Me Christophe Tafelmacher pour la procédure d’appel. Vu l’issue de la cause, les frais de la procédure d'appel, par 5'528 fr. 25, constitués en l’espèce des émoluments d’arrêt et d'audience, par 2'350 fr., (art. 21 al. 1 et 2 TFIP [Tarif des frais de procédure et indemnités en matière pénale du 28 septembre 2010; RSV 312.03.1]), ainsi que de l’indemnité allouée au défenseur d'office de l’appelant, seront mis par moitié à la charge d'U.________, qui obtient partiellement gain de cause, le solde étant laissé à la charge de l’Etat.</w:t>
      </w:r>
    </w:p>
    <w:p>
      <w:r>
        <w:t>- 23 - U.________ ne sera tenu de rembourser à l'Etat la moitié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