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PE16.007247 vom 12. Mai 2016</w:t>
      </w:r>
    </w:p>
    <w:p>
      <w:r>
        <w:t>VD Tribunal cantonal, 2016-05-12, FR</w:t>
      </w:r>
    </w:p>
    <w:p>
      <w:r>
        <w:rPr>
          <w:b/>
        </w:rPr>
        <w:t xml:space="preserve">Quelle: </w:t>
      </w:r>
      <w:r>
        <w:t>https://mcp.opencaselaw.ch/entscheid/vd_gerichte_PE16.007247</w:t>
      </w:r>
    </w:p>
    <w:p>
      <w:r>
        <w:t>FR: VD_GERICHTE PE16.007247 du 12 mai 2016</w:t>
      </w:r>
    </w:p>
    <w:p>
      <w:r>
        <w:t>IT: VD_GERICHTE PE16.007247 del 12 maggio 2016</w:t>
      </w:r>
    </w:p>
    <w:p>
      <w:pPr>
        <w:pStyle w:val="Heading2"/>
      </w:pPr>
      <w:r>
        <w:t>Erwägungen</w:t>
      </w:r>
    </w:p>
    <w:p>
      <w:r>
        <w:rPr>
          <w:b/>
        </w:rPr>
        <w:t>E. 1</w:t>
      </w:r>
    </w:p>
    <w:p>
      <w:r>
        <w:t>CPP), le recours est recevable.</w:t>
      </w:r>
    </w:p>
    <w:p>
      <w:r>
        <w:rPr>
          <w:b/>
        </w:rPr>
        <w:t>E. 1.1</w:t>
      </w:r>
    </w:p>
    <w:p>
      <w:r>
        <w:t>Les parties peuvent attaquer une ordonnance de non- 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w:t>
      </w:r>
    </w:p>
    <w:p>
      <w:r>
        <w:rPr>
          <w:b/>
        </w:rPr>
        <w:t>E. 2</w:t>
      </w:r>
    </w:p>
    <w:p>
      <w:r>
        <w:t>- 3 -</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2.2</w:t>
      </w:r>
    </w:p>
    <w:p>
      <w:r>
        <w:t>En l’espèce, le Ministère public a exposé, à juste titre, que malgré sa demande de précision du 19 avril 2016, U.________ n’avait pas expliqué en quoi il aurait fait l’objet de propos attentatoires à son honneur. Il s’est borné à exposer qu’il aurait essayé d’obtenir des explications auprès de la direction de la prison concernant son « rapport injuste », mais il n’a concrètement fait état d’aucun propos attentatoire à son honneur. Pour le surplus, au stade du recours, U.________ n’a ni développé sa plainte ni donné de quelconques précisions sur les faits dont</w:t>
      </w:r>
    </w:p>
    <w:p>
      <w:r>
        <w:t>- 4 - il dit avoir été victime afin de démontrer que les éléments constitutifs de l’infraction de diffamation seraient réunis. Partant, c’est à bon droit que le Procureur a considéré qu’il n’y avait aucun motif d’ouvrir une instruction pénale pour diffamation.</w:t>
      </w:r>
    </w:p>
    <w:p>
      <w:r>
        <w:rPr>
          <w:b/>
        </w:rPr>
        <w:t>E. 3</w:t>
      </w:r>
    </w:p>
    <w:p>
      <w:r>
        <w:t>En définitive, le recours, manifestement mal fondé, doit être rejeté sans autres échanges d’écritures (art. 390 al. 2 CPP) et l’ordonnance de non-entrée en matière du 28 avril 2016 confirmée. Les frais de la procédure de recours, constitués en l’espèce du seul émolument d'arrêt (art. 422 al. 1 CPP), par 440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28 avril 2016 est confirmée. III. Les frais d’arrêt, par 440 fr. (quatre cent quarante francs), sont mis à la charge de U.________. IV. L’arrêt est exécutoire. Le président : La greffière : Du Le présent arrêt, dont la rédaction a été approuvée à huis clos, est notifié, par l'envoi d'une copie complète, à : - M. U.________, - Ministère public central,</w:t>
      </w:r>
    </w:p>
    <w:p>
      <w:r>
        <w:t>- 5 -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