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PE16.006812 vom 3. Juni 2016</w:t>
      </w:r>
    </w:p>
    <w:p>
      <w:r>
        <w:t>VD Tribunal cantonal, 2016-06-03, FR</w:t>
      </w:r>
    </w:p>
    <w:p>
      <w:r>
        <w:rPr>
          <w:b/>
        </w:rPr>
        <w:t xml:space="preserve">Quelle: </w:t>
      </w:r>
      <w:r>
        <w:t>https://mcp.opencaselaw.ch/entscheid/vd_gerichte_PE16.006812</w:t>
      </w:r>
    </w:p>
    <w:p>
      <w:r>
        <w:t>FR: VD_GERICHTE PE16.006812 du 3 juin 2016</w:t>
      </w:r>
    </w:p>
    <w:p>
      <w:r>
        <w:t>IT: VD_GERICHTE PE16.006812 del 3 giugno 2016</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la partie plaignante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TF 1B_111/2012 du</w:t>
      </w:r>
    </w:p>
    <w:p>
      <w:r>
        <w:rPr>
          <w:b/>
        </w:rPr>
        <w:t>E. 5</w:t>
      </w:r>
    </w:p>
    <w:p>
      <w:r>
        <w:t>Il résulte de ce qui précède que les soupçons contre Z.________ sont insuffisants pour ordonner l’ouverture d’une instruction pénale. Les conditions posées par l’art. 310 al. 1 let. a CPP étant réunies, c’est à bon droit que la procureure a rendu une ordonnance de non-entrée en matière.</w:t>
      </w:r>
    </w:p>
    <w:p>
      <w:r>
        <w:rPr>
          <w:b/>
        </w:rPr>
        <w:t>E. 6</w:t>
      </w:r>
    </w:p>
    <w:p>
      <w:r>
        <w:t>En définitive, le recours, manifestement mal fondé, doit être rejeté sans autres échanges d’écritures (art. 390 al. 2 CPP) et l’ordonnance de non-entrée en matière du 15 avril 2016 confirmée. Les frais de la procédure de recours, constitués en l’espèce du seul émolument d'arrêt (art. 422 al. 1 CPP), par 770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15 avril 2016 est confirmée. III. Les frais d’arrêt, par 770 fr. (sept cent septante francs), sont mis à la charge de G.________. IV. L’arrêt est exécutoire. Le président : Le greffier :</w:t>
      </w:r>
    </w:p>
    <w:p>
      <w:r>
        <w:t>- 8 - Du Le présent arrêt, dont la rédaction a été approuvée à huis clos, est notifié, par l'envoi d'une copie complète, à : - Me Alain Vuithier, avocat (pour G.________), - Mme Z.________,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