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PE16.006504 vom 23. Mai 2016</w:t>
      </w:r>
    </w:p>
    <w:p>
      <w:r>
        <w:t>VD Tribunal cantonal, 2016-05-23, FR</w:t>
      </w:r>
    </w:p>
    <w:p>
      <w:r>
        <w:rPr>
          <w:b/>
        </w:rPr>
        <w:t xml:space="preserve">Quelle: </w:t>
      </w:r>
      <w:r>
        <w:t>https://mcp.opencaselaw.ch/entscheid/vd_gerichte_PE16.006504</w:t>
      </w:r>
    </w:p>
    <w:p>
      <w:r>
        <w:t>FR: VD_GERICHTE PE16.006504 du 23 mai 2016</w:t>
      </w:r>
    </w:p>
    <w:p>
      <w:r>
        <w:t>IT: VD_GERICHTE PE16.006504 del 23 maggio 2016</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w:t>
      </w:r>
    </w:p>
    <w:p>
      <w:r>
        <w:t>- 5 - Le présent recours a été interjeté en temps utile et dans les formes prescrites (art. 385 al. 1 CPP) par le détenu qui a qualité pour recourir (art. 382 CPP), de sorte qu’il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Ia 143 consid. 3c ; TF 1B_408/2015 du 10 décembre 2015 consid. 2.2 ; TF 1B_348/2013 du 21 octobre 2013 consid. 2.1.1 ; Piquerez, Traité de procédure pénale suisse, 2e éd., Zurich 2006, n. 845 ; Schmocker, op. cit., n. 8 ad art. 221 CPP, p. 1025 ; Forster, in : Niggli/ Heer/Wiprächtiger [éd.], Basler Kommentar, Schweizerische Strafprozessordnung, 2e éd., Bâle 2014, n. 3 ad art. 221</w:t>
      </w:r>
    </w:p>
    <w:p>
      <w:r>
        <w:t>- 6 -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 17 janvier 2011 consid. 4.1 ; TF 1B_410/2010 du 23 décembre 2010 consid. 4.1 ; Forster, op. cit., n. 3 ad art. 221 CPP).</w:t>
      </w:r>
    </w:p>
    <w:p>
      <w:r>
        <w:rPr>
          <w:b/>
        </w:rPr>
        <w:t>E. 2.3</w:t>
      </w:r>
    </w:p>
    <w:p>
      <w:r>
        <w:t>En l’espèce, le recourant ne conteste pas les faits. Les circonstances dans lesquelles le recourant a été interpellé au cabinet des logopédistes H.________ et V.________, ainsi que les différents SMS envoyés et reçus sur son téléphone portable constituent en outre, à ce stade de la procédure, des indices suffisamment sérieux de culpabilité à l’encontre du recourant pour justifier son maintien en détention provisoire.</w:t>
      </w:r>
    </w:p>
    <w:p>
      <w:r>
        <w:rPr>
          <w:b/>
        </w:rPr>
        <w:t>E. 3</w:t>
      </w:r>
    </w:p>
    <w:p>
      <w:r>
        <w:t>Le recourant conteste l’existence des risques de fuite et de collusion retenus par le Tribunal des mesures de contrainte.</w:t>
      </w:r>
    </w:p>
    <w:p>
      <w:r>
        <w:rPr>
          <w:b/>
        </w:rPr>
        <w:t>E. 3.1.1</w:t>
      </w:r>
    </w:p>
    <w:p>
      <w:r>
        <w:t>Selon la jurisprudence, le risque de fuite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consid. 3.1 non publié). La gravité de l'infraction ne peut pas, à elle seule, justifier la prolongation de la détention, même si elle permet souvent de présumer un danger de fuite en raison de l'importance de la peine dont le prévenu est menacé (ATF 138 IV 81 précité; TF 1B_145/2012 du 19 avril 2012 consid. 3.1 et les références citées).</w:t>
      </w:r>
    </w:p>
    <w:p>
      <w:r>
        <w:rPr>
          <w:b/>
        </w:rPr>
        <w:t>E. 3.1.2</w:t>
      </w:r>
    </w:p>
    <w:p>
      <w:r>
        <w:t>En l’espèce, le recourant, ressortissant ivoirien établi en France où il bénéficie d’un titre de séjour et d’un travail, n’a aucune</w:t>
      </w:r>
    </w:p>
    <w:p>
      <w:r>
        <w:t>- 7 - attache en Suisse. On peut dès lors sérieusement craindre qu’il ne cherche à se soustraire aux poursuites pénales engagées contre lui en tentant de s’enfuir en France où vit son amie et sa famille ou qu’il disparaisse dans la clandestinité. Dans ces circonstances, le risque de fuite est manifeste et s’oppose à la levée de sa détention provisoire.</w:t>
      </w:r>
    </w:p>
    <w:p>
      <w:r>
        <w:rPr>
          <w:b/>
        </w:rPr>
        <w:t>E. 3.2.1</w:t>
      </w:r>
    </w:p>
    <w:p>
      <w:r>
        <w:t>S’agissant du risque de collusion, on relèvera que le maintien en détention provisoire se justifie notamment lorsqu’il y a sérieusement lieu de craindre que le prévenu compromette la recherche de la vérité en exerçant une influence sur des personnes ou en altérant des moyens de preuve (art. 221 al. 1 let. b CPP).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 cf. ATF 137 IV 122 consid. 6.2 et 6.4) –, vise à garantir la constatation exacte et complète des faits.</w:t>
      </w:r>
    </w:p>
    <w:p>
      <w:r>
        <w:rPr>
          <w:b/>
        </w:rPr>
        <w:t>E. 3.2.2</w:t>
      </w:r>
    </w:p>
    <w:p>
      <w:r>
        <w:t>En l’espèce, le recourant ne conteste pas les faits litigieux, mais uniquement le rôle qu’il aurait joué dans le cadre des commandes litigieuses. Le 30 mars 2016, il a envoyé par SMS les noms de six logopédistes au numéro français [...] dont le titulaire n’a pas encore été identifié. A ce stade, on peut donc évidemment craindre qu’en cas de libération, le recourant n’entrave l’instruction en cherchant à entrer en contact avec ses comparses, les dénommés « [...]» et « [...]» dont les identifications sont actuellement en cours, en vue d’influencer leurs déclarations. De plus, des investigations sont également en cours afin d’identifier le titulaire du numéro de téléphone français précité et les titulaires des deux adresses IP françaises utilisées pour effectuer les commandes litigieuses.</w:t>
      </w:r>
    </w:p>
    <w:p>
      <w:r>
        <w:t>- 8 - Au vu de ces éléments, la recherche de la vérité pourrait être compromise par la libération du recourant et le risque de collusion justifie également le maintien en détention provisoire de Z.________.</w:t>
      </w:r>
    </w:p>
    <w:p>
      <w:r>
        <w:rPr>
          <w:b/>
        </w:rPr>
        <w:t>E. 3.3</w:t>
      </w:r>
    </w:p>
    <w:p>
      <w:r>
        <w:t>Les motifs fondant la détention provisoire étant alternatifs (TF 1B_249/2011 du 7 juin 2011 consid. 2.4), l’existence des risques de fuite et de collusion dispense d’examiner la question de l’existence d’un éventuel risque de réitération, qui peut demeurer indécise.</w:t>
      </w:r>
    </w:p>
    <w:p>
      <w:r>
        <w:rPr>
          <w:b/>
        </w:rPr>
        <w:t>E. 4</w:t>
      </w:r>
    </w:p>
    <w:p>
      <w:r>
        <w:t>Le recourant soutient enfin que son maintien en détention provisoire violerait le principe de la proportionnalité.</w:t>
      </w:r>
    </w:p>
    <w:p>
      <w:r>
        <w:rPr>
          <w:b/>
        </w:rPr>
        <w:t>E. 4.1</w:t>
      </w:r>
    </w:p>
    <w:p>
      <w:r>
        <w:t>Selon l'art. 212 al. 3 CPP, la détention provisoire ne doit pas durer plus longtemps que la peine privative de liberté prévisible.</w:t>
      </w:r>
    </w:p>
    <w:p>
      <w:r>
        <w:rPr>
          <w:b/>
        </w:rPr>
        <w:t>E. 4.2</w:t>
      </w:r>
    </w:p>
    <w:p>
      <w:r>
        <w:t>En l’espèce, Z.________ est détenu depuis le 5 avril 2016, soit depuis un mois et demi. Il est prévenu d’escroquerie. Compte tenu des actes qui lui sont reprochés, la durée de la détention provisoire subie n’apparaît nullement disproportionnée au regard de la peine prévisible à laquelle il s’expose. Au vu de ces éléments, le principe de la proportionnalité de la détention provisoire demeure respecté.</w:t>
      </w:r>
    </w:p>
    <w:p>
      <w:r>
        <w:rPr>
          <w:b/>
        </w:rPr>
        <w:t>E. 5</w:t>
      </w:r>
    </w:p>
    <w:p>
      <w:r>
        <w:t>Il résulte de ce qui précède que le recours, manifestement mal fondé, doit être rejeté sans autre échanges d’écritures (art. 390 al. 2 CPP). Les frais de la procédure de recours, constitués en l’espèce de l’émolument d'arrêt, par 880 fr. (art. 20 al. 1 TFIP [Tarif des frais judiciaires de procédure et indemnités en matière pénale du 28 septembre 2010 ; RSV 312.03.1]) et des frais imputables à la défense d’office (art. 422 al. 1 et 2 let. a CPP), fixés à 330 fr. (3 heures d’activité d’avocat-stagiaire à 110 fr. l’heure), plus la TVA par 26 fr. 40, soit un total de 356 fr. 40, seront mis à la charge de Z.________, qui succombe (art. 428 al. 1 CPP).</w:t>
      </w:r>
    </w:p>
    <w:p>
      <w:r>
        <w:t>- 9 -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3 mai 2016 est confirmée. III. L’indemnité allouée au défenseur d’office de Z.________ est fixée à 356 fr. 40 (trois cent cinquante-six francs et quarante centimes). IV. Les frais d’arrêt, par 880 fr. (huit cent huitante francs), ainsi que l’indemnité due au défenseur d’office de Z.________, par 356 fr. 40 (trois cent cinquante-six francs et quarante centimes), sont mis à la charge de ce dernier. V. Le remboursement à l’Etat de l’indemnité allouée au chiffre III ci-dessus ne sera exigible que pour autant que la situation économique de Z.________ se soit améliorée. VI. L’arrêt est exécutoire. Le président : La greffière : Du Le présent arrêt, dont la rédaction a été approuvée à huis clos, est notifié, par l'envoi d'une copie complète, à : - Me Véronique Fontana (pour Z.________), - Ministère public central, et communiqué à : - Mme la Présidente du Tribunal des mesures de contrainte,</w:t>
      </w:r>
    </w:p>
    <w:p>
      <w:r>
        <w:t>- 10 -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