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PE16.006368 vom 19. Mai 2017</w:t>
      </w:r>
    </w:p>
    <w:p>
      <w:r>
        <w:t>VD Tribunal cantonal, 2017-05-19, FR</w:t>
      </w:r>
    </w:p>
    <w:p>
      <w:r>
        <w:rPr>
          <w:b/>
        </w:rPr>
        <w:t xml:space="preserve">Quelle: </w:t>
      </w:r>
      <w:r>
        <w:t>https://mcp.opencaselaw.ch/entscheid/vd_gerichte_PE16.006368</w:t>
      </w:r>
    </w:p>
    <w:p>
      <w:r>
        <w:t>FR: VD_GERICHTE PE16.006368 du 19 mai 2017</w:t>
      </w:r>
    </w:p>
    <w:p>
      <w:r>
        <w:t>IT: VD_GERICHTE PE16.006368 del 19 maggio 2017</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D.C.________ est recevable en tant qu’il concerne l’ordonnance de classement du 24 février 2017.</w:t>
      </w:r>
    </w:p>
    <w:p>
      <w:r>
        <w:t>- 4 -</w:t>
      </w:r>
    </w:p>
    <w:p>
      <w:r>
        <w:rPr>
          <w:b/>
        </w:rPr>
        <w:t>E. 2.1</w:t>
      </w:r>
    </w:p>
    <w:p>
      <w:r>
        <w:t>La recourante conteste notamment l’application de l’art. 319 al. 1 let. d CPP, soit le principe du classement et expose sa déception quant au fait « qu’on ne la comprenne pas ou qu’on ne prenne pas au sérieux sa plainte en violation de domicile ».</w:t>
      </w:r>
    </w:p>
    <w:p>
      <w:r>
        <w:rPr>
          <w:b/>
        </w:rPr>
        <w:t>E. 2.2</w:t>
      </w:r>
    </w:p>
    <w:p>
      <w:r>
        <w:t>En l’espèce, une instruction pénale a été ouverte contre B.C.________ pour voies de fait et menaces. Dans la mesure où ces infractions ne sont poursuivies que sur plainte et que D.C.________ a retiré la sienne, c’est à juste titre que la Procureure a classé la procédure. La recourante ne se prévaut du reste pas d’avoir mal compris la portée du retrait de sa plainte. S’agissant d’une éventuelle violation de domicile que la recourante dénonce, il y a lieu de constater que cette infraction ne fait pas l’objet de la présente procédure et qu’il n’y a pas lieu d’examiner plus avant ce grief. Comme le lui a indiqué la Procureure, dans la mesure où cette infraction n’est poursuivie que sur plainte, il appartenait à D.C.________ de déposer une plainte pénale formelle contre inconnu si elle entendait que les autorités pénales se saisissent de l’affaire (art. 186 CP). Le recours est donc irrecevable sur ce point.</w:t>
      </w:r>
    </w:p>
    <w:p>
      <w:r>
        <w:rPr>
          <w:b/>
        </w:rPr>
        <w:t>E. 2.2.1</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 et al., Petit Commentaire du Code pénal, Bâle 2012, n. 16 ad art. 319 CPP et les références citées).</w:t>
      </w:r>
    </w:p>
    <w:p>
      <w:r>
        <w:rPr>
          <w:b/>
        </w:rPr>
        <w:t>E. 2.2.2</w:t>
      </w:r>
    </w:p>
    <w:p>
      <w:r>
        <w:t>En vertu de l’art. 126 al. 1 CP, celui qui se sera livré sur une personne à des voies de fait qui n’auront causé ni lésions corporelles ni atteinte à la santé sera, sur plainte, puni d’une amende.</w:t>
      </w:r>
    </w:p>
    <w:p>
      <w:r>
        <w:t>- 5 - Selon l’art. 180 al. 1 CP, celui qui, par une menace grave, aura alarmé ou effrayé une personne, sera, sur plainte, puni d’une peine privative de liberté de trois ans au plus ou d’une peine pécuniaire.</w:t>
      </w:r>
    </w:p>
    <w:p>
      <w:r>
        <w:rPr>
          <w:b/>
        </w:rPr>
        <w:t>E. 2.2.3</w:t>
      </w:r>
    </w:p>
    <w:p>
      <w:r>
        <w:t>A teneur de l’art. 30 al. 1 CP, si une infraction n’est punie que sur plainte, toute personne lésée peut porter plainte contre l’auteur. L’ayant droit peut retirer sa plainte tant que le jugement de deuxième instance n’a pas été prononcé (art. 33 al. 1 CP).</w:t>
      </w:r>
    </w:p>
    <w:p>
      <w:r>
        <w:rPr>
          <w:b/>
        </w:rPr>
        <w:t>E. 3</w:t>
      </w:r>
    </w:p>
    <w:p>
      <w:r>
        <w:t>Il résulte de ce qui précède que le recours doit être rejeté dans la mesure où il est recevable sans autre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seront mis à la charge de D.C.________, qui succombe (art. 428 al. 1 CPP).</w:t>
      </w:r>
    </w:p>
    <w:p>
      <w:r>
        <w:t>- 6 - Par ces motifs, la Chambre des recours pénale prononce : I. Le recours est rejeté dans la mesure où il est recevable. II. L’ordonnance du 24 février 2017 est confirmée. III. Les frais d’arrêt, par 660 fr. (six cent soixante francs), sont mis à la charge de D.C.________. IV. L’arrêt est exécutoire. Le président : La greffière : Du Le présent arrêt, dont la rédaction a été approuvée à huis clos, est notifié, par l'envoi d'une copie complète, à : - D.C.________, - B.C.________,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