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PE16.006360 vom 6. Oktober 2017</w:t>
      </w:r>
    </w:p>
    <w:p>
      <w:r>
        <w:t>VD Tribunal cantonal, 2017-10-06, FR</w:t>
      </w:r>
    </w:p>
    <w:p>
      <w:r>
        <w:rPr>
          <w:b/>
        </w:rPr>
        <w:t xml:space="preserve">Quelle: </w:t>
      </w:r>
      <w:r>
        <w:t>https://mcp.opencaselaw.ch/entscheid/vd_gerichte_PE16.006360</w:t>
      </w:r>
    </w:p>
    <w:p>
      <w:r>
        <w:t>FR: VD_GERICHTE PE16.006360 du 6 octobre 2017</w:t>
      </w:r>
    </w:p>
    <w:p>
      <w:r>
        <w:t>IT: VD_GERICHTE PE16.006360 del 6 ottobre 2017</w:t>
      </w:r>
    </w:p>
    <w:p>
      <w:pPr>
        <w:pStyle w:val="Heading2"/>
      </w:pPr>
      <w:r>
        <w:t>Erwägungen</w:t>
      </w:r>
    </w:p>
    <w:p>
      <w:r>
        <w:rPr>
          <w:b/>
        </w:rPr>
        <w:t>E. 4</w:t>
      </w:r>
    </w:p>
    <w:p>
      <w:r>
        <w:t>L’appelante ayant conclu à son acquittement, il y a lieu de vérifier la peine qui lui a été infligée.</w:t>
      </w:r>
    </w:p>
    <w:p>
      <w:r>
        <w:rPr>
          <w:b/>
        </w:rPr>
        <w:t>E. 4.1</w:t>
      </w:r>
    </w:p>
    <w:p>
      <w:r>
        <w:t>Selon l’art. 47 CP, le juge fixe la peine d’après la culpabilité de l’auteur. Il prend en considération les antécédents et la situation personnelle de ce dernier ainsi que l’effet de la peine sur son avenir (al. 1).</w:t>
      </w:r>
    </w:p>
    <w:p>
      <w:r>
        <w:t>- 18 -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w:t>
      </w:r>
    </w:p>
    <w:p>
      <w:r>
        <w:t>En l’espèce, les faits sont graves et la culpabilité de l’appelante est lourde. L’intéressée a agi de manière régulière pendant plusieurs années et s’est vu remettre une somme totale très importante. Elle a agi de manière égoïste et sans scrupule, notamment sans se demander si son comportement pourrait avoir une incidence sur la situation personnelle et financière de la lésée. Pire, le dépôt de plainte ne l’a pas fait s’interroger sur son comportement. En outre, elle n’a, à ce jour, pas tenu toutes ses promesses de remboursement, alors-même qu’elle avait signé une reconnaissance de dette avec une échéance pour rétrocéder les montants empruntés. Par ailleurs, à l’instar des premiers juges, on relève que le comportement d’A.________ est particulièrement lâche et vil. Elle n’a pas hésité à abuser de la gentillesse et de l’écoute d’une dame âgée, qui lui avait donné sa confiance car elle pensait que c’était son amie. Enfin, aucun élément à décharge ne peut être retenu. En particulier, on relèvera que le casier judiciaire vierge de l’intéressée, soit</w:t>
      </w:r>
    </w:p>
    <w:p>
      <w:r>
        <w:t>- 19 - l’absence d’antécédents pénaux, n’a pas d’effet sur la peine (ATF 136 IV 1). Au regard des éléments qui précèdent, la peine privative de liberté de 18 mois prononcée par les premiers juges est adéquate et doit être confirmée. L’octroi du sursis sera également confirmé pour les motifs retenus par le tribunal. L’appelante n’a pas réellement fait preuve d’amendement, alors que la plaignante se trouve aujourd’hui dans une situation financière difficile. On espère toutefois que la menace de devoir exécuter une peine privative de liberté de 18 mois dissuadera A.________ de commettre de nouvelles infractions. Le délai d’épreuve doit toutefois être fixé à cinq ans afin de limiter au maximum toute velléité de récidive.</w:t>
      </w:r>
    </w:p>
    <w:p>
      <w:r>
        <w:rPr>
          <w:b/>
        </w:rPr>
        <w:t>E. 5</w:t>
      </w:r>
    </w:p>
    <w:p>
      <w:r>
        <w:t>En conclusion, l’appel doit être rejeté et le jugement attaqué confirmé intégralement. Selon la liste d’opérations produite, et dont il n’y a pas lieu de s’écarter, une indemnité pour la procédure d’appel d’un montant de 1'689 fr. 50, TVA et débours inclus, sera allouée au défenseur d’office d’A.________. Vu l’issue de la cause, les frais de la procédure d’appel, par 3’519 fr. 50, constitués en l’espèce de l’émolument du jugement, par 1’830 fr. (art. 21 al. 1 et 2 TFIP [Tarif des frais de procédure et indemnités en matière pénale du 28 septembre 2010 ; RSV 312.03.1]), et de l’indemnité allouée à son défenseur d’office, par 1'689 fr. 50, seront mis à la charge de l’appelante, qui succombe (art. 428 al. 1 CPP). A.________ sera tenue de rembourser à l’Etat le montant de l’indemnité en faveur de son défenseur d’office que lorsque sa situation financière le permettra.</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