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PE16.006238 vom 13. Juni 2016</w:t>
      </w:r>
    </w:p>
    <w:p>
      <w:r>
        <w:t>VD Tribunal cantonal, 2016-06-13, FR</w:t>
      </w:r>
    </w:p>
    <w:p>
      <w:r>
        <w:rPr>
          <w:b/>
        </w:rPr>
        <w:t xml:space="preserve">Quelle: </w:t>
      </w:r>
      <w:r>
        <w:t>https://mcp.opencaselaw.ch/entscheid/vd_gerichte_PE16.006238</w:t>
      </w:r>
    </w:p>
    <w:p>
      <w:r>
        <w:t>FR: VD_GERICHTE PE16.006238 du 13 juin 2016</w:t>
      </w:r>
    </w:p>
    <w:p>
      <w:r>
        <w:t>IT: VD_GERICHTE PE16.006238 del 13 giugno 2016</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 Interjeté dans le délai légal auprès de l’autorité compétente par la partie plaignante, qui a la qualité pour recourir (cf. art. 382 al. 1 CPP), le recours est recevable.</w:t>
      </w:r>
    </w:p>
    <w:p>
      <w:r>
        <w:rPr>
          <w:b/>
        </w:rPr>
        <w:t>E. 2.1</w:t>
      </w:r>
    </w:p>
    <w:p>
      <w:r>
        <w:t>Aux termes de l'art. 310 al. 1 let. a CPP, une ordonnance de non-entrée en matière est rendue immédiatement – c’est-à-dire sans qu’une instruction soit ouverte (art. 309 al. 1 et 4 CPP; TF 1B_111/2012 du</w:t>
      </w:r>
    </w:p>
    <w:p>
      <w:r>
        <w:rPr>
          <w:b/>
        </w:rPr>
        <w:t>E. 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w:t>
      </w:r>
    </w:p>
    <w:p>
      <w:r>
        <w:t>- 4 - droit ou encore lorsque le moyen est disproportionné pour atteindre le but visé (ATF 134 IV 216 consid. 4.1; ATF 129 IV 6 consid. 3.4;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ATF 120 IV 17 consid. 2a/aa). Sur le plan subjectif, il faut que l'auteur ait agi avec conscience et volonté, soit au moins qu'il ait accepté l'éventualité que le procédé illicite employé entrave le destinataire dans sa liberté de décision (ATF 120 IV 17 consid. 2c; TF 6B_38/2011 consid. 2.2.1 du 26 avril 2011).</w:t>
      </w:r>
    </w:p>
    <w:p>
      <w:r>
        <w:rPr>
          <w:b/>
        </w:rPr>
        <w:t>E. 2.3</w:t>
      </w:r>
    </w:p>
    <w:p>
      <w:r>
        <w:t>En l'occurrence, l'argent réclamé par la poursuite incriminée est effectivement dû puisqu'il a été alloué aux époux [...] à la charge du recourant, par le jugement définitif et exécutoire rendu le 28 avril 2015 par le Tribunal de police de l'arrondissement de la Côte. S.________ explique vouloir faire recours devant la Cour Européenne des droits de l'Homme. La décision ne serait ainsi pas définitive. Cependant, il se méprend sur la portée d'un tel recours, puisque les arrêts de la Cour sont purement déclaratoires et n'ont aucun effet suspensif (Piquerez, Traité de procédure pénale suisse, 2e éd., Zurich 2006, n. 184 p. 131). Pour le surplus, la somme étant due, le moyen utilisé est licite et les éléments constitutifs de la contrainte ne sont pas réalisés. C'est donc à juste titre que le Ministère public a rendu l'ordonnance de classement querellée en application de l'art. 310 CPP, dont les conditions sont remplies. 3. Il résulte de ce qui précède que le recours, manifestement mal fondé,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w:t>
      </w:r>
    </w:p>
    <w:p>
      <w:r>
        <w:t>- 5 - 2010 ; RSV 312.03.1]), seront mis à la charge de S.________, qui succombe (art. 428 al. 1 CPP). Ils seront compensés avec le montant déjà versé par celui-ci à titre de sûreté et reçu le 11 mai 2016. Par ces motifs, la Chambre des recours pénale prononce : I. Le recours est rejeté. II. L'ordonnance du 6 avril 2016 est confirmée. III. Les frais d'arrêt, par 550 fr. (cinq cent cinquante francs), sont mis à la charge deS.________. IV. Les frais mis à la charge du recourant au chiffre III ci-dessus sont compensés avec le montant de 550 fr. (cinq cent cinquante francs) déjà versé par celui-ci à titre de sûretés. V. L’arrêt est exécutoire. Le président : La greffière : Du Le présent arrêt, dont la rédaction a été approuvée à huis clos, est notifié, par l'envoi d'une copie complète, à : - M. S.________, - Ministère public central, et communiqué à : - M. le Procureur de l'arrondissement de La Côte,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avril 2012 consid. 2.1; Cornu, in: Kuhn/Jeanneret [éd.], Code de procédure pénale suisse, Commentaire romand,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