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PE16.005690 vom 14. März 2017</w:t>
      </w:r>
    </w:p>
    <w:p>
      <w:r>
        <w:t>VD Tribunal cantonal, 2017-03-14, FR</w:t>
      </w:r>
    </w:p>
    <w:p>
      <w:r>
        <w:rPr>
          <w:b/>
        </w:rPr>
        <w:t xml:space="preserve">Quelle: </w:t>
      </w:r>
      <w:r>
        <w:t>https://mcp.opencaselaw.ch/entscheid/vd_gerichte_PE16.005690</w:t>
      </w:r>
    </w:p>
    <w:p>
      <w:r>
        <w:t>FR: VD_GERICHTE PE16.005690 du 14 mars 2017</w:t>
      </w:r>
    </w:p>
    <w:p>
      <w:r>
        <w:t>IT: VD_GERICHTE PE16.005690 del 14 marzo 2017</w:t>
      </w:r>
    </w:p>
    <w:p>
      <w:pPr>
        <w:pStyle w:val="Heading2"/>
      </w:pPr>
      <w:r>
        <w:t>Erwägungen</w:t>
      </w:r>
    </w:p>
    <w:p>
      <w:r>
        <w:rPr>
          <w:b/>
        </w:rPr>
        <w:t>E. 1</w:t>
      </w:r>
    </w:p>
    <w:p>
      <w:r>
        <w:t>Une ordonnance de classement rendue par le Ministère public peut être attaquée par la voie du recours (art. 393 al. 1 let. a CPP [Code de procédure pénale suisse du 5 octobre 2007 ; RS 312.0]) auprès de la Chambre des recours pénale du Tribunal cantonal (art. 396 al. 1 CPP, 13 LVCPP [loi d’introduction du code de procédure pénale suisse du 19 mai 2009 ; RSV 312.01] et 80 LOJV [loi d'organisation judiciaire du 12 septembre 1979 ; RSV 173.01]). Le recours doit être envoyé par écrit, dans un délai de dix jours dès la notification de la décision attaquée (art. 322 al. 2 et 396 al. 1 CPP). Interjeté dans le délai légal par le plaignant qui a qualité pour recourir (art. 382 al. 1 CPP), le recours est recevable, sous réserve de ce qui sera exposé ci-dessous (consid. 4, infra).</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w:t>
      </w:r>
    </w:p>
    <w:p>
      <w:r>
        <w:t>- 4 - une instruction n’ont pas été confirmés (Grädel/Heiniger, Basler Kommentar, Schweizerische Strafprozess- 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 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 ATF 138 IV 86 précité, consid. 4.1.2).</w:t>
      </w:r>
    </w:p>
    <w:p>
      <w:r>
        <w:rPr>
          <w:b/>
        </w:rPr>
        <w:t>E. 3.1</w:t>
      </w:r>
    </w:p>
    <w:p>
      <w:r>
        <w:t>Le recourant soutient que le commandement de payer du 4 février 2016 serait constitutif d'une tentative de contrainte, dès lors qu'il ne serait pas le débiteur à titre personnel de la créance qui y figure.</w:t>
      </w:r>
    </w:p>
    <w:p>
      <w:r>
        <w:t>- 5 -</w:t>
      </w:r>
    </w:p>
    <w:p>
      <w:r>
        <w:rPr>
          <w:b/>
        </w:rPr>
        <w:t>E. 3.2</w:t>
      </w:r>
    </w:p>
    <w:p>
      <w:r>
        <w:t>Se rend coupable de contrainte, au sens de l'art. 181 CP, celui qui, en usant de violence envers une personne ou en la menaçant d'un dommage sérieux ou en l'entravant de toute autre manière dans sa liberté d'action, l'aura obligée à faire, à ne pas faire ou à laisser faire un acte. La contrainte est illicite lorsque le moyen ou le but est contraire au droit ou encore lorsque le moyen est disproportionné pour atteindre le but visé (ATF 134 IV 216 consid. 4.1 ; ATF 129 IV 6 consid. 3.4 ; ATF 119 IV 301 consid.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1a ; ATF 120 IV 17 consid. 2a/aa). Sur le plan subjectif, il faut que l'auteur ait agi avec conscience et volonté, soit au moins qu'il ait accepté l'éventualité que le procédé illicite employé entrave le destinataire dans sa liberté de décision (ATF 120 IV 17 consid. 2c ; TF 6B_38/2011 du 26 avril 2011 consid. 2.2.1). Selon la jurisprudence du Tribunal fédéral, pour une personne de sensibilité moyenne, faire l'objet d'un commandement de payer portant sur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le cas échéant,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(TF 6S.853/2000 du 9 mai 2001 consid. 4c ; TF 6B_281/2013 du 16 juillet 2013 consid. 1.1.2 et 1.2). En outre, il est de nature à porter atteinte au</w:t>
      </w:r>
    </w:p>
    <w:p>
      <w:r>
        <w:t>- 6 - crédit professionnel du destinataire (TF 6B_281/2013 du 16 juillet 2013 consid. 1.2).</w:t>
      </w:r>
    </w:p>
    <w:p>
      <w:r>
        <w:rPr>
          <w:b/>
        </w:rPr>
        <w:t>E. 3.3</w:t>
      </w:r>
    </w:p>
    <w:p>
      <w:r>
        <w:t>En l'espèce, au cours de son audition par le Procureur du 18 octobre 2016, l'intimé a expliqué qu'il avait été consulté par la société O.________SA pour remplacer son associé, Me G.________, qui avait mené seize ans de procédure en relation avec cette affaire et avait en outre constaté que X.________ aurait rendu la société X.________SA insolvable. Plusieurs actions devaient alors être envisagées, à savoir une action en responsabilité contre X.________ personnellement en sa qualité d'administrateur selon les art. 752 ss CO, une action récursoire contre X.________ personnellement selon l'art. 51 CO, une action révocatoire selon l'art. 288 LP et l'action en responsabilité pour acte illicite selon l'art. 41 CO. Dès lors que la problématique de prescription se posait au regard de ces actions et qu'une déclaration de renonciation à la prescription par X.________ apparaissait illusoire, le seul moyen d'interrompre la prescription et de sécuriser le dossier avait été de faire notifier un commandement de payer au recourant personnellement à hauteur du montant payé par la compagnie d'assurance. En outre, dans ses déterminations du 10 mars 2017, l'intimé a ajouté qu'il était également apparu à Me G.________ que X.________ aurait transféré les activités de X.________SA dans une nouvelle société à responsabilité limitée, qu'il se serait dessaisi de son patrimoine personnel en effectuant des donations en faveur de membres de sa famille et que ces mesures auraient été prises seulement quelques jours après le jugement de première instance de la Cour civile établissant le principe de la responsabilité de X.________SA. Les explications détaillées de l'intimé au sujet des raisons pour lesquelles il a fait notifier un commandement de payer au recourant personnellement pour un montant de 3'037'683 fr. sont convaincantes. Il apparaissait effectivement vain de demander au recourant de signer une déclaration de renonciation à la prescription. La démarche de l'intimé visant à interrompre la prescription par la notification d'un commandement de payer au recourant était par conséquent parfaitement</w:t>
      </w:r>
    </w:p>
    <w:p>
      <w:r>
        <w:t>- 7 - justifiée. L'intimé n'a ainsi fait que ce que son devoir d'avocat lui commandait de faire, afin de sauvegarder les intérêts de sa mandante. Quant à la créance qui fait l'objet du commandement de payer litigieux, elle correspond à la somme totale effectivement versée par O.________SA, augmentée des dépens alloués au terme de la procédure civile, ce que le recourant ne conteste pas. Le commandement de payer ne peut dès lors être considéré comme disproportionné quant à son montant. L'infraction de contrainte n'étant pas réalisée, même au stade de la tentative, c'est à bon droit que le Ministère public a rendu une ordonnance de classement.</w:t>
      </w:r>
    </w:p>
    <w:p>
      <w:r>
        <w:rPr>
          <w:b/>
        </w:rPr>
        <w:t>E. 4</w:t>
      </w:r>
    </w:p>
    <w:p>
      <w:r>
        <w:t>Le recourant fait valoir que le conseil de l'intimé n'avait droit à aucune indemnité au sens de l'art. 429 CPP et qu'il s'agit d'une réclamation téméraire de sa part. Dès lors que l'indemnité allouée au conseil de l'intimé n'a pas été mise à la charge du recourant, celui-ci n'est aucunement lésé et n'a donc aucun intérêt juridiquement protégé à recourir sur cette question (art. 382 al. 1 CPP), faute d'être directement et immédiatement atteint dans ses droits (CREP 7 février 2017/74). Son recours est par conséquent irrecevable sur ce point. Au demeurant, contrairement à ce que le recourant soutient, il ne s'agit pas d'une indemnité pour tort moral et le conseil de l'intimé n'est pas un de ses associés.</w:t>
      </w:r>
    </w:p>
    <w:p>
      <w:r>
        <w:rPr>
          <w:b/>
        </w:rPr>
        <w:t>E. 5</w:t>
      </w:r>
    </w:p>
    <w:p>
      <w:r>
        <w:t>Il résulte de ce qui précède que le recours doit être rejeté dans la mesure où il est recevable et l'ordonnance entreprise confirmée. V.________, qui a obtenu gain de cause et a procédé avec l’assistance d’un avocat de choix, a droit à une indemnité pour les dépenses occasionnées par l’exercice raisonnable de ses droits de procédure pour la procédure de recours (art. 433 al. 1 et 436 al. 1 CPP). Cette indemnité sera fixée à 600 fr. (soit deux heures de travail au tarif</w:t>
      </w:r>
    </w:p>
    <w:p>
      <w:r>
        <w:t>- 8 - horaire de 300 fr. ; art. 26a al. 3 TFIP [tarif des frais de procédure et indemnités en matière pénale du 28 septembre 2010 ; RSV 312.03.1]),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48 fr., soit un total de 648 fr., à la charge du recourant. Les frais de la procédure de recours, par 880 fr. (art. 20 al. 1 TFIP), seront mis à la charge du recourant, qui succombe (art. 428 al. 1 CPP). Par ces motifs, la Chambre des recours pénale prononce : I. Le recours est rejeté dans la mesure où il est recevable. II. L'ordonnance du 27 janvier 2017 est confirmée. III. Une indemnité de 648 fr. (six cent quarante-huit francs) est allouée à V.________ pour les dépenses occasionnées par l’exercice raisonnable de ses droits de procédure pour la procédure de recours, à la charge du recourant. IV. Les frais d'arrêt, par 880 fr. (huit cent huitante francs), sont mis à la charge de X.________. V. L’arrêt est exécutoire. Le président : La greffière :</w:t>
      </w:r>
    </w:p>
    <w:p>
      <w:r>
        <w:t>- 9 - Du Le présent arrêt, dont la rédaction a été approuvée à huis clos, est notifié, par l'envoi d'une copie complète, à : - M. X.________, - Me Jacques Michod, avocat (pour V.________),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