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PE16.005454 vom 15. März 2018</w:t>
      </w:r>
    </w:p>
    <w:p>
      <w:r>
        <w:t>VD Tribunal cantonal, 2018-03-15, FR</w:t>
      </w:r>
    </w:p>
    <w:p>
      <w:r>
        <w:rPr>
          <w:b/>
        </w:rPr>
        <w:t xml:space="preserve">Quelle: </w:t>
      </w:r>
      <w:r>
        <w:t>https://mcp.opencaselaw.ch/entscheid/vd_gerichte_PE16.005454</w:t>
      </w:r>
    </w:p>
    <w:p>
      <w:r>
        <w:t>FR: VD_GERICHTE PE16.005454 du 15 mars 2018</w:t>
      </w:r>
    </w:p>
    <w:p>
      <w:r>
        <w:t>IT: VD_GERICHTE PE16.005454 del 15 marzo 2018</w:t>
      </w:r>
    </w:p>
    <w:p>
      <w:pPr>
        <w:pStyle w:val="Heading2"/>
      </w:pPr>
      <w:r>
        <w:t>Erwägungen</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w:t>
      </w:r>
    </w:p>
    <w:p>
      <w:r>
        <w:t>- 9 -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w:t>
      </w:r>
    </w:p>
    <w:p>
      <w:r>
        <w:t>- 10 - que le document est digne de confiance, de telle sorte qu'une vérification par le destinataire n'est pas nécessaire et ne saurait être exigée (TF 6B_ 382/2011 du 26 septembre 2011, TF 6B_367/2007 du 10 octobre 2007 consid. 4.2, non publié in ATF 133 IV 303; TF 6S.156/2006 du 24 novembre 2006 consid. 4.1 non publié in ATF 133 IV 36 ; ATF 132 IV 12 consid. 8.1 p. 14 – 15 ; ATF 129 IV 130 consid. 2.1 p. 133 - 134).</w:t>
      </w:r>
    </w:p>
    <w:p>
      <w:r>
        <w:rPr>
          <w:b/>
        </w:rPr>
        <w:t>E. 3.3</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w:t>
      </w:r>
    </w:p>
    <w:p>
      <w:r>
        <w:t>- 11 -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4.1</w:t>
      </w:r>
    </w:p>
    <w:p>
      <w:r>
        <w:t>L.________ prétend qu'aucun contrat n'aurait été conclu entre A.V.________ et H.________ le 23 août 2013, le dossier n'en contenant pas de trace. Il faudrait donc considérer que A.V.________ n’avait jamais repris les activités de B.V.________. Les factures au dossier ainsi que les procès- verbaux de séance de chantier ne mentionneraient d'ailleurs que B.V.________ comme entrepreneur général, ce qui ressortirait également des mails et des courriers échangés entre août et septembre 2013. En outre, les factures établies les 11 et 20 octobre 2013 pour le paiement des 25'920 fr. seraient "des faux"A.V.________ n'aurait jamais avancé ce montant, puisqu'elle n'en aurait pas eu les moyens. A ce sujet, le retrait de 20'000 fr. et la quittance du 30 octobre de 5'920 fr. ne prouveraient rien.</w:t>
      </w:r>
    </w:p>
    <w:p>
      <w:r>
        <w:t>- 12 - Au vu de ces éléments et de l'intérêt financier des prévenus à réclamer au plaignant ce qu'ils n'auraient pas pu fB.V.________ B.V.________, il faudrait au moins les reconnaître coupables de faux dans les titres. C.________. Au vu de leur caractère évolutif, les allégations de L.________ paraissent d'ailleurs moins crédibles. Dans sa plainte et durant l'instruction, ce dernier a soutenu que A.V.________ se serait substituée à B.V.________ dans le contrat avec H.________ en octobre 2013. Devant la Cour de céans, il laisse entendre que cette substitution n'aurait jamais eu lieu.</w:t>
      </w:r>
    </w:p>
    <w:p>
      <w:r>
        <w:rPr>
          <w:b/>
        </w:rPr>
        <w:t>E. 4.2.1</w:t>
      </w:r>
    </w:p>
    <w:p>
      <w:r>
        <w:t>Pour le surplus, rien ne permet d'établir que les prévenus auraient conclu un quelconque contrat le 23 août 2013. En annexe à la requête d'hypothèque légale (P. 7), on trouve les copies de deux exemplaires d'un devis établi le 23 août 2013. Le premier a été signé. Il concorde avec le devis du 10 juillet 2013. Le second, pour un montant plus élevé, ne comporte aucune signature. Il fait état du montant incriminé de 25'920 fr. sous la rubrique "Plus-value pour sous-couverture étanche ainsi que la modification de lucarnes.". Ce dernier devis ne contient toutefois rien de mensonger, de trompeur ou d'astucieux dès lors qu'il se réfère à des travaux exécutés pour le prix de 25'920 francs. Le recourant conteste cette prétention qui se fonderait sur un dépassement de devis qu'il n'aurait pas approuvé. Cela n'établit rien de pénalement répréhensible et la question de savoir si le recourant doit payer ce montant et si les dépassements de devis ont été acceptés ou non est de nature purement contractuelle et échappe à la compétence du juge pénal. H.________, parX.________X.________ d'avoir établi deux fausses factures pour lui réclamer un montant de 25'920 fr. indu. Il aurait agi de concert avec A.V.________ qui, par C.________, allèguerait faussement l'avoir avancé puisqu'il n'en aurait pas eu les moyens financiers. Les éléments</w:t>
      </w:r>
    </w:p>
    <w:p>
      <w:r>
        <w:t>- 13 - comptables produits à la demande du Ministère public tendraient à démontrer le contraire. Peu importe cependant, le comportement n'étant pas pénalement répréhensible.</w:t>
      </w:r>
    </w:p>
    <w:p>
      <w:r>
        <w:rPr>
          <w:b/>
        </w:rPr>
        <w:t>E. 4.2.3</w:t>
      </w:r>
    </w:p>
    <w:p>
      <w:r>
        <w:t>L.________ prétend que les prévenus auraient cherché, par les démarches incriminées, à lui faire payer un montant qu'ils auraient perdu dans la faillite de B.V.________. Toutefois, aucun élément au dossier ne démontre la véracité de ces allégations. Le recourant n'a d'ailleurs pas cherché à les étayer.</w:t>
      </w:r>
    </w:p>
    <w:p>
      <w:r>
        <w:rPr>
          <w:b/>
        </w:rPr>
        <w:t>E. 4.3</w:t>
      </w:r>
    </w:p>
    <w:p>
      <w:r>
        <w:t>En conclusion, l'argumentation du recourant ne permet pas d'infirmer la position du Ministère public qui retient que le total du devis du 23 août 2013 correspond exactement à la facture du 10 juillet 2013 adressée par H.________ à l'architecte [...]. Dans ces conditions, rien ne pouvait pousser les prévenus à falsifier le devis du 23 août 2013 ou les factures des 28 août et 17 septembre 2013. Faute d'éléments probants indiquant qu'une infraction aurait été commise, la procédure devait être classée.</w:t>
      </w:r>
    </w:p>
    <w:p>
      <w:r>
        <w:rPr>
          <w:b/>
        </w:rPr>
        <w:t>E. 5</w:t>
      </w:r>
    </w:p>
    <w:p>
      <w:r>
        <w:t>En définitive, le recours, manifestement mal fondé, doit être rejeté sans échange d’écritures (art. 390 al. 2 CPP) et les ordonnances de classement rendues par le Ministère public de l'arrondissement du Nord vaudois les 10 et 19 octobre 2017 doivent être confirmées. Les frais de la procédure de recours, constitués en l'espèce du seul émolument d’arrêt, par 1'430 fr. (art. 20 al. 1 TFIP [Tarif des frais de procédure et indemnités en matière pénale du 28 septembre 2010; RSV 312.03.1]), seront mis à la charge du recourant, qui succombe (art. 428 al. 1 CPP).</w:t>
      </w:r>
    </w:p>
    <w:p>
      <w:r>
        <w:t>- 14 - Par ces motifs, la Chambre des recours pénale prononce : I. Le recours est rejeté. II. Les ordonnances des 10 et 19 octobre 2017 sont confirmées. III. Les frais de la procédure de recours, par 1'430 fr. (mille quatre cent trente francs), sont mis à la charge du recourant. IV. L’arrêt est exécutoire. Le président : La greffière : Du Le présent arrêt, dont la rédaction a été approuvée à huis clos, est notifié, par l'envoi d'une copie complète, à : - Me Jean-Christophe Oberson, avocat (pour X.________), - Me Christophe Tornare, avocat (pour C.________), - Me Dan Bally, avocat (pour L.________), - Ministère public central, et communiqué à : - Mme la Procureure de l'arrondissement du Nord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