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PE16.005270 vom 29. August 2016</w:t>
      </w:r>
    </w:p>
    <w:p>
      <w:r>
        <w:t>VD Tribunal cantonal, 2016-08-29, FR</w:t>
      </w:r>
    </w:p>
    <w:p>
      <w:r>
        <w:rPr>
          <w:b/>
        </w:rPr>
        <w:t xml:space="preserve">Quelle: </w:t>
      </w:r>
      <w:r>
        <w:t>https://mcp.opencaselaw.ch/entscheid/vd_gerichte_PE16.005270</w:t>
      </w:r>
    </w:p>
    <w:p>
      <w:r>
        <w:t>FR: VD_GERICHTE PE16.005270 du 29 août 2016</w:t>
      </w:r>
    </w:p>
    <w:p>
      <w:r>
        <w:t>IT: VD_GERICHTE PE16.005270 del 29 agosto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w:t>
      </w:r>
    </w:p>
    <w:p>
      <w:r>
        <w:t>- 3 - procédure pénale suisse du 19 mai 2009 ; RSV 312.01] ; art. 80 LOJV [Loi d’organisation judiciaire du 12 décembre 1979 ; RSV 173.01]). En l’espèce, interjeté dans le délai légal auprès de l’autorité compétente par la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l’art. 310 al. 1 let. a CPP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- 4 -</w:t>
      </w:r>
    </w:p>
    <w:p>
      <w:r>
        <w:rPr>
          <w:b/>
        </w:rPr>
        <w:t>E. 3.1</w:t>
      </w:r>
    </w:p>
    <w:p>
      <w:r>
        <w:t>La recourante conteste les déclarations de W.________ et de [...]. Elle considère en substance que ces derniers auraient profité du manque de discernement de son père, D.________, peu avant son décès, pour s’approprier son kimono, sa ceinture noire, ainsi que quelques affaires qui se seraient trouvées dans le casier du club de jujitsu. I.________ souhaiterait en outre que le Dr [...], chef de clinique à l’hôpital de [...], soit entendu en qualité de témoin au sujet de la capacité de discernement de son père le 16 août 2015.</w:t>
      </w:r>
    </w:p>
    <w:p>
      <w:r>
        <w:rPr>
          <w:b/>
        </w:rPr>
        <w:t>E. 3.2</w:t>
      </w:r>
    </w:p>
    <w:p>
      <w:r>
        <w:t>La Procureure s’est fondée sur les déclarations concordantes de W.________ et de [...] pour retenir qu’aucune infraction n’avait été réalisée. Elle a notamment relevé que ces derniers avaient tous deux affirmé que, lors d’une entrevue ayant eu lieu le 16 août 2015 à l’hôpital de [...] entre les prénommés, D.________ et les sœurs de celui-ci, le défunt avait dit qu’il ne voulait pas porter son kimono dans le cercueil à sa mort, ni sa ceinture noire, que W.________ pouvait garder le kimono et que [...] pouvait garder la ceinture afin de la remettre, par la suite, à son élève le plus méritant (cf. PV aud. 1, pp. 3-4 ; PV aud. 2, p. 3). Le médecin [...] a également affirmé que, lors de cette rencontre, le défunt était en pleine possession de ses facultés et que le Dr [...] pouvait également l’attester (PV aud. 2, p. 3). Au regard des circonstances décrites ci-dessus, il apparaît que le kimono et la ceinture noire ont été donnés à W.________, respectivement à [...]. Selon ce dernier, la capacité de discernement de D.________ n’était pas altérée. L’audition requise du Dr [...] est en l’espèce inutile, à tout le moins sous l’angle pénal, puisque ce dernier confirmera selon toute vraisemblance ce qu’a dit [...]. Par ailleurs, aucune autre mesure d’investigation que celles qui ont été diligentées par la police ne permettra d’établir la réalisation d’une quelconque infraction. Pour le reste, les recherches mises en œuvre ont permis d’établir que W.________ n’était pas en possession des affaires qui se seraient trouvées dans le casier du club de jujitsu. En outre, la question des retraits litigieux, pour lesquels des pièces justifiant les transactions ont été produites (cf. PV aud. 1), n’est à juste titre plus discutée par I.________, au stade du recours.</w:t>
      </w:r>
    </w:p>
    <w:p>
      <w:r>
        <w:t>- 5 - En réalité, I.________ conteste la validité de la donation effectuée par son père en faveur de W.________ et [...], au motif qu’il n’avait, au moment de cette donation, pas la capacité de discernement. Cela est en outre attesté par la lettre adressée par son avocat le 21 août 2015 au prévenu (cf. P. 4/7). Dans la mesure où les deux prénommés soutiennent que c’est dans leur bon droit qu’ils détiennent le kimono et la ceinture noire, le présent litige est donc de nature civile. Ainsi, c’est à juste titre que le Ministère public a décidé de rendre une ordonnance de non-entrée en matière.</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RSV 312.03.1]), seront mis à la charge de la recourante, qui succombe (art. 428 al. 1 CPP). Le montant de 550 fr. déjà versé par la recourante à titre de sûretés sera compensé avec les frais mis à sa charge (art. 383 al. 1 CPP ; art. 7 TFIP). Par ces motifs, la Chambre des recours pénale prononce : I. Le recours est rejeté. II. L’ordonnance du 15 juin 2016 est confirmée. III. Les frais d’arrêt, par 550 fr. (cinq cent cinquante francs), sont mis à la charge de I.________.</w:t>
      </w:r>
    </w:p>
    <w:p>
      <w:r>
        <w:t>- 6 - IV. Les frais mis à la charge de la recourante au chiffre III ci- dessus sont compensés avec le montant de 550 fr. (cinq cent cinquante francs) déjà versé par celle-ci à titre de sûretés. V. L’arrêt est exécutoire. Le président : Le greffier : Du Le présent arrêt, dont la rédaction a été approuvée à huis clos, est notifié, par l'envoi d'une copie complète, à : - Mme I.________, - M.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