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PE16.004967 vom 25. Oktober 2016</w:t>
      </w:r>
    </w:p>
    <w:p>
      <w:r>
        <w:t>VD Tribunal cantonal, 2016-10-25, FR</w:t>
      </w:r>
    </w:p>
    <w:p>
      <w:r>
        <w:rPr>
          <w:b/>
        </w:rPr>
        <w:t xml:space="preserve">Quelle: </w:t>
      </w:r>
      <w:r>
        <w:t>https://mcp.opencaselaw.ch/entscheid/vd_gerichte_PE16.004967</w:t>
      </w:r>
    </w:p>
    <w:p>
      <w:r>
        <w:t>FR: VD_GERICHTE PE16.004967 du 25 octobre 2016</w:t>
      </w:r>
    </w:p>
    <w:p>
      <w:r>
        <w:t>IT: VD_GERICHTE PE16.004967 del 25 ottobre 2016</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w:t>
      </w:r>
    </w:p>
    <w:p>
      <w:r>
        <w:t>- 5 - la détention pour des motifs de sûreté ne doivent pas durer plus longtemps que la peine privative de liberté prévisible (art. 212 al. 3 CPP).</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2e éd., Zurich 2006, n. 845 ; Schmocker, op. cit., n. 8 ad art. 221 CPP, p. 1025 ; Forster, in : Niggli/ 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2.3</w:t>
      </w:r>
    </w:p>
    <w:p>
      <w:r>
        <w:t>Le recourant soutient que les éléments au dossier ne permettraient pas de considérer qu’il existe des soupçons suffisamment sérieux à son égard pour le maintenir en détention provisoire. Il fait valoir en bref que la boîte à musique [...] retrouvée dans l’appartement qu’il occupait concerne un cambriolage commis le 19 mars 2013, époque à laquelle il n’était pas en Suisse, que le contrôle téléphonique rétrospectif</w:t>
      </w:r>
    </w:p>
    <w:p>
      <w:r>
        <w:t>- 6 - du numéro de son téléphone cellulaire permettrait d’exclure sa partici- pation à des cambriolages en qualité de chauffeur et que sa participation au brigandage du 14 février 2016 ne serait pas établie, D.________ ayant exclu la participation du prévenu et T.________ n’ayant fait état que de doutes à ce sujet. En l’espèce, le recourant, prévenu de tentative de brigandage qualifié, de vol et d’infraction à la Loi fédérale sur les étrangers, conteste les faits qui lui sont reprochés. Durant l’instruction, le Ministère public a procédé à l’audition de D.________ et de T.________, lesquels ont tous deux reconnu avoir participé aux faits litigieux du 14 février 2016 et confirmé la participation d’I.________. Si différentes opérations de contrôle sont toujours en cours en vue d’établir l’étendue de l’activité délictueuse du recourant et d’identifier le quatrième comparse, les investigations déjà effectuées et les preuves recueillies ont à tout le moins démontré la participation de I.________ à la tentative de brigandage qualifié du 14 février 2016, infraction principale reprochée au recourant et passible d’une peine privative de liberté de deux ans au moins (art. 140 ch. 3 CP). Lors de leurs auditions des 24 mai et 13 juin 2016, D.________ et T.________ ont expliqué à la Procureure qu’I.________ ne savait pas ce qu’ils allaient faire le 14 février 2016. Si D.________ a déclaré que le recourant l’avait déposé sur les lieux, T.________ a dit qu’il s’était déplacé en bus et qu’I.________ devait les ramener après le brigandage. En se prévalant de ces témoignages, le recourant discute les éléments de l’enquête et porte une appréciation sur les divers motifs d’accusation, laquelle sera du ressort de l’autorité de jugement. Le recourant n’apporte toutefois aucun élément sérieux susceptible de remettre en cause les déclarations des deux comparses qui l’ont mis en cause. Partant, bien qu’I.________ conteste les faits qui lui sont repro- chés, il existe, à ce stade de l’instruction, des indices suffisamment sérieux de culpabilité à son encontre pour justifier son maintien en détention provisoire.</w:t>
      </w:r>
    </w:p>
    <w:p>
      <w:r>
        <w:t>- 7 -</w:t>
      </w:r>
    </w:p>
    <w:p>
      <w:r>
        <w:rPr>
          <w:b/>
        </w:rPr>
        <w:t>E. 3</w:t>
      </w:r>
    </w:p>
    <w:p>
      <w:r>
        <w:t>Il convient d’examiner l’existence des risques de fuite et de collusion.</w:t>
      </w:r>
    </w:p>
    <w:p>
      <w:r>
        <w:rPr>
          <w:b/>
        </w:rPr>
        <w:t>E. 3.1.1</w:t>
      </w:r>
    </w:p>
    <w:p>
      <w:r>
        <w:t>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w:t>
      </w:r>
    </w:p>
    <w:p>
      <w:r>
        <w:rPr>
          <w:b/>
        </w:rPr>
        <w:t>E. 3.1.2</w:t>
      </w:r>
    </w:p>
    <w:p>
      <w:r>
        <w:t>Le recourant, ressortissant kosovar ne bénéficiant d’aucun titre de séjour, n’a aucune attache en Suisse. Compte tenu de sa situation personnelle, de la gravité des faits qui lui sont reprochés et de la peine encourue, on peut dès lors sérieusement craindre qu’il ne cherche à se soustraire aux poursuites pénales engagées contre lui en tentant de s’enfuir ou en disparaissant dans la clandestinité. Dans ces circonstances, le risque de fuite est concret et justifie le maintien en détention provisoire du recourant.</w:t>
      </w:r>
    </w:p>
    <w:p>
      <w:r>
        <w:rPr>
          <w:b/>
        </w:rPr>
        <w:t>E. 3.2.1</w:t>
      </w:r>
    </w:p>
    <w:p>
      <w:r>
        <w:t>S’agissant du risque de collusion, on relèvera que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w:t>
      </w:r>
    </w:p>
    <w:p>
      <w:r>
        <w:t>- 8 -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w:t>
      </w:r>
    </w:p>
    <w:p>
      <w:r>
        <w:rPr>
          <w:b/>
        </w:rPr>
        <w:t>E. 3.2.2</w:t>
      </w:r>
    </w:p>
    <w:p>
      <w:r>
        <w:t>En l’espèce, le quatrième comparse surnommé « l’Italien » qui a participé à la tentative de brigandage du 14 février 2016 n’a toujours pas été identifié et les recherches se poursuivent. A ce stade, on peut donc craindre qu’en cas de libération, le prévenu entrave l’instruction en cherchant à entrer en contact avec cet individu pour l’informer de l’enquête en cours, l’influencer dans ses déclarations et lui permettre de prendre la fuite. Le maintien du recourant en détention se justifie d’autant plus que la Procureure doit encore procéder à une audition récapitulative et aux auditions de confrontation entre le recourant et les autres prévenus. Au vu de ces éléments, la recherche de la vérité pourrait être compromise par la libération du recourant, de sorte que le risque de collusion justifie également le maintien en détention provisoire d’I.________.</w:t>
      </w:r>
    </w:p>
    <w:p>
      <w:r>
        <w:rPr>
          <w:b/>
        </w:rPr>
        <w:t>E. 3.3</w:t>
      </w:r>
    </w:p>
    <w:p>
      <w:r>
        <w:t>Les motifs fondant la détention provisoire étant alternatifs (TF 1B_249/2011 du 7 juin 2011 consid. 2.4), l’existence des risques de fuite et de collusion dispense d’examiner la question de l’existence d’un éventuel risque de réitération.</w:t>
      </w:r>
    </w:p>
    <w:p>
      <w:r>
        <w:rPr>
          <w:b/>
        </w:rPr>
        <w:t>E. 3.4</w:t>
      </w:r>
    </w:p>
    <w:p>
      <w:r>
        <w:t>Quant aux mesures de substitution proposées par le recourant, elles ne paraissent pas en mesure de pallier aux risques retenus. En effet, on ne saurait se satisfaire du dépôt, par le prévenu, de ses documents d’identité et d’un simple engagement de sa part de se présenter régulièrement à un service administratif pour pallier aux risques de fuite et de collusion.</w:t>
      </w:r>
    </w:p>
    <w:p>
      <w:r>
        <w:t>- 9 -</w:t>
      </w:r>
    </w:p>
    <w:p>
      <w:r>
        <w:rPr>
          <w:b/>
        </w:rPr>
        <w:t>E. 3.5</w:t>
      </w:r>
    </w:p>
    <w:p>
      <w:r>
        <w:t>Le recourant soutient enfin que son maintien en détention provisoire violerait le principe de la proportionnalité. Or, I.________ est détenu depuis le 30 mars 2016, soit depuis près de sept mois. Compte tenu de la gravité des infractions qui lui sont reprochées, le prévenu s'expose à une peine privative de liberté d’une durée encore supérieure à celle de la détention provisoire subie à ce jour, respectivement à subir jusqu’au 30 décembre 2016. Par conséquent, le principe de la proportionnalité demeure respecté (ATF 133 I 168 consid. 4.1 et les arrêts cités; ATF 132 I 21 consid. 4.1 ; TF 1B_411/2011 du 31 août 2011 consid. 4.1).</w:t>
      </w:r>
    </w:p>
    <w:p>
      <w:r>
        <w:rPr>
          <w:b/>
        </w:rPr>
        <w:t>E. 4</w:t>
      </w:r>
    </w:p>
    <w:p>
      <w:r>
        <w:t>En définitive, le recours, manifestement mal fondé, doit être rejeté sans autre échange d’écritures (art. 390 al. 2 CPP) et l’ordonnance attaquée confirmée.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d’I.________, qui succombe (art. 428 al. 1 CPP). Le remboursement à l'Etat de l'indemnité allouée au défenseur d'office d’I.________ ne sera toutefois exigible que pour autant que la situation économique de ce dernier se soit améliorée (art. 135 al. 4 CPP). Par ces motifs, la Chambre des recours pénale prononce : I. Le recours est rejeté. II. L’ordonnance du 7 octobre 2016 est confirmée.</w:t>
      </w:r>
    </w:p>
    <w:p>
      <w:r>
        <w:t>- 10 - III. L’indemnité allouée au défenseur d’office d’I.________ est fixée à 583 fr. 20 (cinq cent huitante-trois francs et vingt centimes). IV. Les frais d’arrêt, par 990 fr. (neuf cent nonante francs), ainsi que l’indemnité due au défenseur d’office d’I.________, par 583 fr. 20 (cinq cent huitante-trois francs et vingt centimes), sont mis à la charge de ce dernier. V. Le remboursement à l'Etat de l'indemnité allouée au chiffre III ci-dessus ne sera exigible que pour autant que la situation économique d’I.________ se soit améliorée. VI. L’arrêt est exécutoire. Le vice-président : La greffière : Du Le présent arrêt, dont la rédaction a été approuvée à huis clos, est notifié, par l'envoi d'une copie complète, à : - Me Philippe Dal Col, avocat (pour I.________),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- 11 -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