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PE16.004949 vom 14. März 2023</w:t>
      </w:r>
    </w:p>
    <w:p>
      <w:r>
        <w:t>VD Tribunal cantonal, 2023-03-14, FR</w:t>
      </w:r>
    </w:p>
    <w:p>
      <w:r>
        <w:rPr>
          <w:b/>
        </w:rPr>
        <w:t xml:space="preserve">Quelle: </w:t>
      </w:r>
      <w:r>
        <w:t>https://mcp.opencaselaw.ch/entscheid/vd_gerichte_PE16.004949</w:t>
      </w:r>
    </w:p>
    <w:p>
      <w:r>
        <w:t>FR: VD_GERICHTE PE16.004949 du 14 mars 2023</w:t>
      </w:r>
    </w:p>
    <w:p>
      <w:r>
        <w:t>IT: VD_GERICHTE PE16.004949 del 14 marzo 2023</w:t>
      </w:r>
    </w:p>
    <w:p>
      <w:pPr>
        <w:pStyle w:val="Heading2"/>
      </w:pPr>
      <w:r>
        <w:t>Erwägungen</w:t>
      </w:r>
    </w:p>
    <w:p>
      <w:r>
        <w:rPr>
          <w:b/>
        </w:rPr>
        <w:t>E. 6</w:t>
      </w:r>
    </w:p>
    <w:p>
      <w:r>
        <w:t>§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w:t>
      </w:r>
    </w:p>
    <w:p>
      <w:r>
        <w:t>- 19 -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w:t>
      </w:r>
    </w:p>
    <w:p>
      <w:r>
        <w:rPr>
          <w:b/>
        </w:rPr>
        <w:t>E. 6.1</w:t>
      </w:r>
    </w:p>
    <w:p>
      <w:r>
        <w:t>L’appelant conclut à l’admission partielle des conclusions civiles de P.________, en ce sens qu’il est son débiteur de la somme de 20'000 fr., sans toutefois motiver ce point.</w:t>
      </w:r>
    </w:p>
    <w:p>
      <w:r>
        <w:rPr>
          <w:b/>
        </w:rPr>
        <w:t>E. 6.2</w:t>
      </w:r>
    </w:p>
    <w:p>
      <w:r>
        <w:t>L'art. 126 al. 1 let. a CPP prévoit que le tribunal statue sur les conclusions civiles présentées lorsqu'il rend un verdict de culpabilité à l'encontre du prévenu.</w:t>
      </w:r>
    </w:p>
    <w:p>
      <w:r>
        <w:rPr>
          <w:b/>
        </w:rPr>
        <w:t>E. 6.3</w:t>
      </w:r>
    </w:p>
    <w:p>
      <w:r>
        <w:t>Le montant de 20'000 fr. reconnu par l’appelant représente sa prétendue part du butin dans le brigandage du cas 13. Or, la conclusion de l’appelant repose sur la prémisse que, d’une part, l’appelant n’a pas participé à un brigandage mais à un vol, et que, d’autre part, il n’a jamais vu d’argent en espèces ni de pierres précieuses. Dans la mesure où la Cour de céans retient que l’appelant a participé comme coauteur au brigandage du 10 mars 2016, ce moyen doit être rejeté. Pour le surplus, l’appelant ne conteste pas les prétentions civiles de P.________ pour elles- mêmes – 1'748'885 fr. pour les diamants et 450'000 fr. pour l’argent liquide –, lesquelles sont de toute manière justifiées par des pièces au dossier (PV aud. 8, annexe ; P. 66). Dans ces conditions, la conclusion de l’appelant doit être rejetée.</w:t>
      </w:r>
    </w:p>
    <w:p>
      <w:r>
        <w:t>- 29 - 7. En définitive, l’appel de N.________ doit être rejeté et le jugement entrepris confirmé. Vu le sort de la cause, les frais de la procédure d’appel, constitués en l’espèce du seul émolument de jugement, par 2'710 fr. (art. 422 al. 1 CPP ; 21 al. 1 et 2 TFIP), seront mis à la charge de N.________ qui succombe (art. 428 al. 1 CPP).</w:t>
      </w:r>
    </w:p>
    <w:p>
      <w:r>
        <w:rPr>
          <w:b/>
        </w:rPr>
        <w:t>E. 10</w:t>
      </w:r>
    </w:p>
    <w:p>
      <w:r>
        <w:t>CPP et réf. cit.). 3.2.2 Se rend coupable de brigandage au sens de l'art. 140 ch. 1 al. 1 CP celui qui aura commis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 IV 107 consid. 3b et 3c ; TF 6B_199/2021 du 30 septembre 2021 consid. 3.1.1). Le brigandage est une forme aggravée du vol (cf. 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6B_199/2021 du 30 septembre 2021 consid. 3.1.1 ; TF 6B_508/2020 du 7 janvier 2021 consid. 2.4.1). L'art. 140 CP protège le patrimoine ainsi que la liberté d'autrui (ATF 133 IV 297 consid. 4.1 ; ATF 129 IV 61 consid. 2.1 p. 63). L'affiliation à une bande est envisagée à l’art. 140 ch. 3 CP comme une circonstance aggravante en raison de la dangerosité particulière résultant de la commission en commun de l'infraction, élément qui est réputé renforcer les auteurs dans leur activité criminelle et favoriser ainsi la commission de nouvelles infractions (Dupuis et al. [éd.], Petit commentaire, Code pénal, 2e éd., n. 24 ad art. 139 CP et n. 24 ad art. 140 CP). Selon la jurisprudence, on parle de bande lorsque deux ou plusieurs auteurs manifestent, expressément ou par actes</w:t>
      </w:r>
    </w:p>
    <w:p>
      <w:r>
        <w:t>- 20 - concluants, la volonté de s'associer en vue de commettre un nombre déterminé ou non d'infractions. La notion de bande suppose un degré minimum d'organisation – par exemple le partage des rôles et du travail – et une collaboration d'une intensité suffisante pour qu'on puisse parler d'une équipe relativement stable et soudée, même si elle peut être éphémère (ATF 135 IV 158 consid. 2 ; ATF 132 IV 132 consid. 5.2, JT 2007 IV 134).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JdT 2004 I 486, SJ 2005 I 47). 3.3 Avec les premiers juges, la Cour de céans considère que la version du prévenu, qu’il reprend en appel, est contredite par les pièces au dossier, les images de vidéosurveillance de l’hôtel et les déclarations du réceptionniste Z.________. Tout d’abord, deux éléments démontrent que l’appelant a participé aux préparatifs du brigandage perpétré à l’Hôtel [...] le 10 mars 2016 en effectuant des repérages. Un sac contenant des</w:t>
      </w:r>
    </w:p>
    <w:p>
      <w:r>
        <w:t>- 21 - ligatures, du scotch, un pied-de-biche, des outils, des gants, des vêtements et un briquet a été retrouvé dans un buisson du parc de l’hôtel quelques jours avant le brigandage (P. 45 p. 25). L’ADN de l’appelant a été mis en évidence sur un gant retrouvé dans ce sac (P. 52) et l’appelant a admis que le sac à dos en question et le pied-de-biche utilisé lors du brigandage lui appartenaient (PV aud. 14 R. 20). Ensuite, contrairement à ce que le prévenu affirme, les images de vidéosurveillance ne permettent pas de retenir qu’il a agi sous la contrainte de ses comparses. Au contraire, chaque participant agit de manière autonome (P. 45 pp. 17-18). Lors de son audition par la police de Bourg-en-Bresse (F) (PV aud. 21 pp. 2-3), I.________ a admis avoir participé au brigandage du cas 13, mais il a contesté avoir menacé N.________ avec une arme, précisant qu’ils avaient agi tous les trois ensemble et allant jusqu’à dire que N.________ était l’initiateur du brigandage. Le réceptionniste a pour sa part qualifié le prévenu de « meneur » (PV aud. 13 R. 18), précisant encore que ses agresseurs agissaient « ensemble » et qu’à aucun moment l’un ou l’autre n’avait agi sous la contrainte des deux autres (PV aud. 13 R. 10 et R. 11). Enfin, l’appelant, soi-disant menacé par ses deux comparses, n’a jamais tenté de fuir lorsqu’il a vu I.________ brandir une arme à feu et la pointer sur le veilleur de nuit, puisqu’il a lui-même indiqué être allé chercher le pied-de-biche dans la voiture (PV aud. 11 ll. 88-91) et être sorti de l’hôtel pour faire rentrer U.________ (PV aud. 14 R. 15). Au reste, la Cour de céans voit mal U.________ menacer l’appelant, son ami d’enfance, au moyen d’une arme, comme cela est invoqué dans le mémoire d’appel. Au vu de ce qui précède, la Cour de céans a acquis la conviction que l’appelant a participé activement aux faits du cas 13. Il n’y a dès lors pas lieu de s’écarter de l’état de fait retenu par les premiers juges. Mal fondés, les griefs factuels invoqués par l’appelant doivent tous être rejetés. 3.4 L’appelant ne conteste la qualification de brigandage que pour autant que l’on admette sa version des faits, ce qui n’est pas le cas.</w:t>
      </w:r>
    </w:p>
    <w:p>
      <w:r>
        <w:t>- 22 - En l’occurrence, c’est à juste titre que les premiers juges ont retenu que les agissements de l’appelant étaient constitutifs de brigandage qualifié. Le prévenu et ses comparses s’étaient préalablement organisés, se munissant notamment du matériel qui leur était nécessaire pour neutraliser le réceptionniste de l’hôtel et pour forcer les casiers du coffre. Le prévenu connaissait les projets de ses deux comparses, puisqu’il avait participé activement aux repérages effectués aux alentours de l’Hôtel [...] à [...]. Le réceptionniste a été neutralisé au moyen d’une arme avant de se retrouver au sol les pieds et les mains attachés. L’appelant a indiqué lui-même être sorti de l’hôtel pour faire entrer U.________. On est ainsi en présence d’un vol commis avec violence, qui fonde la qualification juridique du brigandage. L’association de l’appelant avec U.________ a engendré les cambriolages des cas 11 et 12 et le brigandage du cas 13. L’aggravante de l’art. 140 ch. 3 CP est ainsi réalisée. Il s’ensuit que la condamnation de N.________ pour brigandage qualifié doit être confirmée et l’appel rejeté sur ce point. 4. 4.1 L’appelant estime que la peine prononcée par les premiers juges est excessive en comparaison avec d’autres peines prononcées en la matière. Invoquant une violation de l’art. 47 CP et une motivation incomplète de la quotité de la peine, il reproche aux premiers juges de ne pas avoir tenu compte de sa situation personnelle et familiale, de son absence d’antécédents, de son bon comportement après les faits reprochés et du très faible risque de récidive. Il fait valoir que l’un de ses frères et un ami d’enfance ont confirmé qu’il n’était pas de nature violente, qu’il a des projets futurs au Kosovo où il reprendra son travail et sa vie avec sa famille à sa sortie de prison et qu’une longue peine aura un effet dévastateur sur son avenir. 4.2 4.2.1 Selon l’art. 47 CP, le juge fixe la peine d'après la culpabilité de l'auteur. Il prend en considération les antécédents et la situation personnelle de ce dernier ainsi que l'effet de la peine sur son avenir (al. 1).</w:t>
      </w:r>
    </w:p>
    <w:p>
      <w:r>
        <w:t>- 23 -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w:t>
      </w:r>
    </w:p>
    <w:p>
      <w:r>
        <w:t>- 24 -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4.2.3 L’art. 48 let. e CP prévoit que le juge atténue la peine si l’intérêt à punir a sensiblement diminué en raison du temps écoulé depuis l’infraction et que l’auteur s’est bien comporté dans l’intervalle. Cette disposition ne fixe pas de délai. Selon la jurisprudence, cette condition de temps est réalisée lorsque les deux tiers du délai de prescription de l’action pénale sont écoulés. Le juge peut toutefois réduire ce délai pour tenir compte de la nature et de la gravité de l’infraction (ATF 140 IV 145</w:t>
      </w:r>
    </w:p>
    <w:p>
      <w:r>
        <w:t>- 25 - consid. 3.1 ; ATF 132 IV 1 consid. 6.2.1 ; TF 6B_1067/2015 du 1er juin 2016 consid. 10.1). 4.2.4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l’appelant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6B_793/2011 du 26 janvier 2012 consid. 4.3 ; Dupuis et al. [éd.], op. cit., n. 2a ad art. 47 CP ; Favre/Pellet/Stoudmann, Code pénal annoté, 3e éd., Lausanne 2011, n. 1.12 ad art. 47 CP). 4.3 N.________ doit être sanctionné pour des vols en bande et par métier (art. 139 ch. 1, 2 et 3 CP), un brigandage qualifié (art. 140 ch. 1 et 3 CP), des dommages à la propriété (art. 144 al. 1 CP), des violations de domicile (art. 186 CP) et un faux dans les certificats (art. 252 al. 2 CP). Avec les premiers juges, il y a lieu de retenir que la culpabilité de l’appelant est très lourde. Le prévenu, qui ne disposait d’aucun titre de séjour en Suisse, n’est venu dans notre pays que pour commettre les</w:t>
      </w:r>
    </w:p>
    <w:p>
      <w:r>
        <w:t>- 26 - infractions contre le patrimoine mentionnées dans l’acte d’accusation, avec pour point d’orgue le brigandage perpétré le 10 mars 2016. Il a multiplié les infractions pendant quinze mois par appât du gain, avant de retourner vivre dans son pays d’origine pour se marier et fonder une famille. A charge, il y a également lieu de retenir le concours d’infractions. La prise de conscience du prévenu quant à la gravité des actes commis est inexistante. S’il a certes admis une partie des faits reprochés pour lesquels des éléments au dossier confirmaient son implication, le prévenu a contesté l’infraction la plus grave et a persisté, lors des débats d’appel, à minimiser son rôle dans le brigandage commis malgré les preuves au dossier, rejetant la faute sur ses deux comparses. Il peut être donné acte au prévenu qu’il n’a pas d’antécédents inscrits dans son casier judiciaire suisse, mais il a été condamné en 2021 par les autorités pénales slovènes pour falsification de documents à une peine privative de liberté de 2 mois avec sursis pendant un an. Quoi qu’il en soit, l’absence d’antécédents du prévenu a un effet neutre sur la fixation de la peine et n'a pas à être pris en considération dans un sens atténuant (ATF 141 IV 61 consid. 6.3.2 ; ATF 136 IV 1 consid. 2.6 ; TF 6B_938/2019 du 18 novembre 2019 consid. 3.3). La Cour de céans ne discerne aucun élément à décharge. Le prévenu, qui dit lui-même dans son appel qu’il a eu une enfance « totalement normale et calme », ne peut se prévaloir d’une enfance difficile et carencée. En outre, au bénéfice d’une formation universitaire, le prévenu aurait eu tout loisir de travailler et de gagner honnêtement sa vie. Aussi, rien dans sa situation personnelle ne permet de justifier ses agissements. Les faits les plus anciens remontent à plus de 8 ans. Toutefois, les deux tiers de la prescription pénale ne sont pas atteints (art. 97 al. 1 let. b CP cum art. 139 et 140 CP), de sorte que cette circonstance sera retenue uniquement sous l'angle de l'art. 47 CP et non sous celle de l'art. 48 let. e CP. De plus, le comportement de l’appelant a donné lieu à une nouvelle condamnation pénale en 2021 par les autorités slovènes. L’intérêt à punir l’appelant n’a dès lors pas sensiblement diminué.</w:t>
      </w:r>
    </w:p>
    <w:p>
      <w:r>
        <w:t>- 27 - Les premiers juges ont infligé au prévenu une peine privative de liberté de 7 ans, sans toutefois en détailler la construction. Pour des motifs de prévention spéciale, une peine privative de liberté doit être prononcée pour toutes les infractions commises. L’infraction la plus grave est le brigandage qualifié du cas 13, infraction punie d’une peine menace de 2 ans au moins. Il s’agit en l’occurrence d’un acte prémédité commis par une bande de trois délinquants aguerris qui n’ont pas hésité à menacer le réceptionniste d’un hôtel, lequel restera traumatisé à vie. Lors de son audition, I.________ a déclaré (PV aud. 21 p. 2) : « …. En fait je suis allé car je savais qu’il y avait beaucoup d’argent, ils m’ont dit entre 7 et 8 millions, je n’y serais pas allé pour 400'000 francs suisses. ». Cet acte était donc ciblé et l’importance du butin dérobé n’était pas le fruit du hasard, de sorte qu’il convient de tenir compte de cet élément et de sanctionner cette infraction d’une peine privative de liberté de 4 ans. Par l’effet du concours, cette peine doit être augmentée de 28 mois pour les vols en bande et par métier que la Cour de céans répartit en trois séries en fonction de leur date et de leur lieu de commission, savoir 12 mois pour la 1re série constituée des cas 1 à 4 qui ont eu lieu en Valais entre décembre 2014 et février 2015, 10 mois pour la 2ème série constituée des cas 6 à 9 qui ont eu lieu à Aigle et à Bex entre avril et mai 2015 et 6 mois pour la 3ème série constituée des cas 11 et 12 qui ont eu lieu dans le Grand Lausanne entre décembre 2015 et janvier 2016. Les effets du concours conduisent encore à l’augmentation de la peine privative de liberté de 13 mois, soit un mois pour chacun des six cas de dommages à la propriété (cas 2, 3, 6, 7, 8 et 11), un mois pour chacun des six cas de violation de domicile (cas 2, 3, 6, 7, 8 et 11) et un mois pour le faux dans les certificats (cas 15). C’est ainsi une peine privative de liberté d’ensemble de 7 ans et 5 mois (4 ans + 28 mois + 13 mois) qui devrait être prononcée. Le principe de l’interdiction de la reformatio in pejus (cf. art. 391 al. 2 CPP) commande de confirmer la peine privative de liberté de 7 ans prononcée par les premiers juges. La peine prononcée étant supérieure à trois ans, le prévenu ne remplit pas les conditions d’octroi du sursis (cf. art. 42 al 1 et 43 al. 1 CP).</w:t>
      </w:r>
    </w:p>
    <w:p>
      <w:r>
        <w:t>- 28 - 5. Conformément à l’art. 51 CP, la détention subie par l’appelant depuis le jugement de première instance sera déduite de la peine privative de liberté prononcée contre lui. Pour garantir l’exécution de cette peine privative de liberté, le maintien en détention de N.________ pour des motifs de sûreté sera ordonné en raison du risque de fuite élevé qu’il présente (art. 221 al. 1 let. a CPP). Ressortissant du Kosovo ne disposant d’aucun statut de séjour en Suisse, le prévenu est sans ressources et émargera à l’aide sociale à sa sortie de prison. Il est donc à craindre qu’il fuie au Kosovo ou qu’il disparaisse dans la clandestinité s’il était libéré avant l’exécution de sa peine.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