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PE16.004786 vom 31. Oktober 2016</w:t>
      </w:r>
    </w:p>
    <w:p>
      <w:r>
        <w:t>VD Tribunal cantonal, 2016-10-31, FR</w:t>
      </w:r>
    </w:p>
    <w:p>
      <w:r>
        <w:rPr>
          <w:b/>
        </w:rPr>
        <w:t xml:space="preserve">Quelle: </w:t>
      </w:r>
      <w:r>
        <w:t>https://mcp.opencaselaw.ch/entscheid/vd_gerichte_PE16.004786</w:t>
      </w:r>
    </w:p>
    <w:p>
      <w:r>
        <w:t>FR: VD_GERICHTE PE16.004786 du 31 octobre 2016</w:t>
      </w:r>
    </w:p>
    <w:p>
      <w:r>
        <w:t>IT: VD_GERICHTE PE16.004786 del 31 ottobre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Interjeté dans le délai légal auprès de l’autorité compétente par le plaignant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t>- 4 -</w:t>
      </w:r>
    </w:p>
    <w:p>
      <w:r>
        <w:rPr>
          <w:b/>
        </w:rPr>
        <w:t>E. 2.2</w:t>
      </w:r>
    </w:p>
    <w:p>
      <w:r>
        <w:t>En l’espèce, U.________ a expliqué que lui et son copain W.________ avaient vu sur un quad deux jeunes gens qui n’étaient pas casqués, et en avait déduit que le véhicule était volé. Il a expliqué la présence de son ADN sur les poignées de l’engin par le fait qu’il s’était assis dessus, W.________ l’ayant alors pris en photo en position de conduite. Il a toutefois nié avoir volé le véhicule et avoir circulé avec (P. 8). Le fait que des traces d’ADN de U.________ ait été découvertes sur les poignées du quad ne suffit pas à désigner le prévenu comme étant l’auteur du vol. L’intéressé a en effet fourni une version plausible pour expliquer la présence de ces traces à l’endroit en question. Dans ces conditions, si la procédure devait se poursuivre, l’acquittement serait nettement plus vraisemblable qu’une condamnation. Il s’ensuit que l’ordonnance de non-entrée rendue par le Ministère public est justifiée.</w:t>
      </w:r>
    </w:p>
    <w:p>
      <w:r>
        <w:rPr>
          <w:b/>
        </w:rPr>
        <w:t>E. 3</w:t>
      </w:r>
    </w:p>
    <w:p>
      <w:r>
        <w:t>Le recourant se plaint d’avoir eu à supporter des frais, soit 324 fr. de frais de fourrière. Il s’agit là toutefois de frais administratifs, qui n’ont pas été imputés à la présente procédure pénale, et qui, partant, échappent à l’examen de la cour de céans. S’agissant du présent dossier, les frais de la cause, composés notamment de ceux du rapport technique/d’identification (150 fr.), du constat technique (130 fr.) et de l’analyse ADN (400 fr.), ont été expressément laissés à la charge de l’Etat.</w:t>
      </w:r>
    </w:p>
    <w:p>
      <w:r>
        <w:rPr>
          <w:b/>
        </w:rPr>
        <w:t>E. 4</w:t>
      </w:r>
    </w:p>
    <w:p>
      <w:r>
        <w:t>En définitive, le recours, manifestement mal fondé, doit être rejeté sans autres échanges d’écritures (art. 390 al. 2 CPP) et l’ordonnance de non-entrée en matière du 6 septembre 2016 confirmée. Les frais de la procédure de recours, constitués en l’espèce du seul émolument d'arrêt (art. 422 al. 1 CPP), par 440 fr. (art. 20 al. 1 TFIP [tarif des frais de procédure et indemnités en matière pénale du 28 septembre 2010 ; RSV 312.03.1]), seront mis à la charge du recourant, qui succombe (art. 428 al. 1 CPP).</w:t>
      </w:r>
    </w:p>
    <w:p>
      <w:r>
        <w:t>- 5 - Par ces motifs, la Chambre des recours pénale prononce : I. Le recours est rejeté. II. L’ordonnance du 6 septembre 2016 est confirmée. III. Les frais d’arrêt, par 440 fr. (quatre cent quarante francs), sont mis à la charge de Z.________. IV. L’arrêt est exécutoire. Le président : Le greffier : Du Le présent arrêt, dont la rédaction a été approuvée à huis clos, est notifié, par l'envoi d'une copie complète, à : - M. Z.________, - M. U.________,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