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PE16.004613 vom 18. Juli 2016</w:t>
      </w:r>
    </w:p>
    <w:p>
      <w:r>
        <w:t>VD Tribunal cantonal, 2016-07-18, FR</w:t>
      </w:r>
    </w:p>
    <w:p>
      <w:r>
        <w:rPr>
          <w:b/>
        </w:rPr>
        <w:t xml:space="preserve">Quelle: </w:t>
      </w:r>
      <w:r>
        <w:t>https://mcp.opencaselaw.ch/entscheid/vd_gerichte_PE16.004613</w:t>
      </w:r>
    </w:p>
    <w:p>
      <w:r>
        <w:t>FR: VD_GERICHTE PE16.004613 du 18 juillet 2016</w:t>
      </w:r>
    </w:p>
    <w:p>
      <w:r>
        <w:t>IT: VD_GERICHTE PE16.004613 del 18 luglio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w:t>
      </w:r>
    </w:p>
    <w:p>
      <w:r>
        <w:t>- 3 - procédure pénale suisse, RSV 312.01]; art. 80 LOJV [loi d’organisation judiciaire, RSV 173.01]).</w:t>
      </w:r>
    </w:p>
    <w:p>
      <w:r>
        <w:rPr>
          <w:b/>
        </w:rPr>
        <w:t>E. 1.2</w:t>
      </w:r>
    </w:p>
    <w:p>
      <w:r>
        <w:t>Interjeté dans le délai légal auprès de l’autorité compétente par la partie plaignante qui a qualité pour recourir (art. 382 al. 1 CPP) et satisfaisant aux conditions légales de forme (art. 385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Celui-ci découle du principe de la légalité (art. 5 al. 1 Cst. [Constitution fédérale de la Confédération suisse;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Réprimant la dénonciation calomnieuse, l’art. 303 ch. 1 CP (Code pénal; RS 311.0) dispose que celui qui, notamment, aura dénoncé à l'autorité, comme auteur d'un crime ou d'un délit, une personne qu'il savait innocente, en vue de faire ouvrir contre elle une poursuite pénale, sera puni d'une peine privative de liberté ou d'une peine pécuniaire.</w:t>
      </w:r>
    </w:p>
    <w:p>
      <w:r>
        <w:t>- 4 - Quant aux éléments constitutifs objectifs de l’infraction, une dénonciation n'est calomnieuse que si la personne mise en cause est innocente, en ce sens qu'elle n'a pas commis les faits qui lui sont faussement imputés, soit parce que ceux-ci ne se sont pas produits, soit parce qu'elle n'en est pas l'auteur (TF 6B_591/2009 du 1er février 2010 consid. 3.1.1). La dénonciation doit porter sur la commission d’une infraction pénale (Dupuis/Geller/Monnier/Moreillon/Piguet/Bettex/ Stoll [éd.], Petit commentaire CP, Bâle 2012, n. 7 ad art. 303 CP et les références citées). Pour ce qui est des éléments constitutifs subjectifs de l’infraction, l'auteur doit savoir que la personne qu'il dénonce est innocente. Il s'agit d'une connaissance au sens strict. Le dol éventuel ne suffit pas (Corboz, Les infractions en droit suisse, vol. II, 3e éd., Berne 2010, n. 17 ad art. 303 CP, p. 591; ATF 136 IV 170 consid. 2.1, JdT 2011 IV 102), de sorte que l'auteur peut objecter n'avoir pas su le dénoncé innocent en invoquant sa bonne foi (ATF 72 IV 74 consid. 1).</w:t>
      </w:r>
    </w:p>
    <w:p>
      <w:r>
        <w:rPr>
          <w:b/>
        </w:rPr>
        <w:t>E. 2.3</w:t>
      </w:r>
    </w:p>
    <w:p>
      <w:r>
        <w:t>Les conditions posées par l’art. 310 al. 1 let. a CPP étant ainsi réunies, c’est à bon droit que le Procureur a rendu une ordonnance de non-entrée en matière.</w:t>
      </w:r>
    </w:p>
    <w:p>
      <w:r>
        <w:rPr>
          <w:b/>
        </w:rPr>
        <w:t>E. 3</w:t>
      </w:r>
    </w:p>
    <w:p>
      <w:r>
        <w:t>En définitive, le recours, manifestement mal fondé, doit être rejeté sans autres échanges d’écritures (art. 390 al. 2 CPP) et l’ordonnance du 13 avril 2016 confirmée. Les frais de la procédure de recours, constitués en l’espèce de l’émolument d’arrêt, par 550 fr. (art. 20 al. 1 TFIP [Tarif des frais de procédure et indemnités en matière pénale du 28 septembre 2010; RSV</w:t>
      </w:r>
    </w:p>
    <w:p>
      <w:r>
        <w:t>- 6 - 312.03.1]), seront mis à la charge du recourant, qui succombe (art. 428 al. 1 CPP). Par ces motifs, la Chambre des recours pénale prononce : I. Le recours est rejeté. II. L’ordonnance du 13 avril 2016 est confirmée. III. Les frais de la procédure de recours, par 550 fr. (cinq cent cinquante francs), sont mis à la charge du recourant. IV. L’arrêt est exécutoire. Le président : Le greffier : Du Le présent arrêt, dont la rédaction a été approuvée à huis clos, est notifié, par l'envoi d'une copie complète, à : - Me Sophie De Gol Cipolla, avocate (pour K.________),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