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PE16.004530 vom 24. März 2020</w:t>
      </w:r>
    </w:p>
    <w:p>
      <w:r>
        <w:t>VD Tribunal cantonal, 2020-03-24, FR</w:t>
      </w:r>
    </w:p>
    <w:p>
      <w:r>
        <w:rPr>
          <w:b/>
        </w:rPr>
        <w:t xml:space="preserve">Quelle: </w:t>
      </w:r>
      <w:r>
        <w:t>https://mcp.opencaselaw.ch/entscheid/vd_gerichte_PE16.004530</w:t>
      </w:r>
    </w:p>
    <w:p>
      <w:r>
        <w:t>FR: VD_GERICHTE PE16.004530 du 24 mars 2020</w:t>
      </w:r>
    </w:p>
    <w:p>
      <w:r>
        <w:t>IT: VD_GERICHTE PE16.004530 del 24 marzo 2020</w:t>
      </w:r>
    </w:p>
    <w:p>
      <w:pPr>
        <w:pStyle w:val="Heading2"/>
      </w:pPr>
      <w:r>
        <w:t>Erwägungen</w:t>
      </w:r>
    </w:p>
    <w:p>
      <w:r>
        <w:rPr>
          <w:b/>
        </w:rPr>
        <w:t>E. 50</w:t>
      </w:r>
    </w:p>
    <w:p>
      <w:r>
        <w:t>fr., avec sursis pendant deux ans, ainsi qu’à une amende de 1'000 fr., convertible en 20 jours de peine privative de liberté de substitution en cas d’absence fautive de paiement. B. Par ordonnance du 24 février 2020 – rectifiée le 9 mars 2020 –, le Ministère public a ordonné le classement de la procédure pénale dirigée contre W.________ pour inobservation des prescriptions légales sur la comptabilité (I), a statué sur le sort des objets séquestrés (II), a dit qu’il n’y avait pas lieu d’octroyer à W.________ une indemnité au sens de l’art. 429 CPP (III) et a mis les frais de procédure, par 285 fr., à la charge de ce dernier (VI). Le Procureur a relevé que les faits remontant à l’année 2015 étaient désormais également prescrits, de sorte qu’il convenait de mettre fin à l’action pénale. S’agissant des effets accessoires du classement, il a considéré que le prévenu avait, par son comportement civilement répréhensible, donné lieu à l’ouverture de la procédure, si bien qu’il fallait mettre une partie des frais, par un cinquième, à sa charge. Enfin, le Procureur a indiqué que W.________ n’avait requis aucune indemnité au sens de l’art. 429 al. 1 let. a CPP pour ce pan du dossier et qu’il n’y avait donc pas lieu de lui en allouer une. C. Par acte du 6 mars 2020, W.________ a recouru auprès de la Chambre des recours pénale contre cette ordonnance, en concluant, sous suite de frais et dépens, à sa réforme en ce sens qu’une indemnité au sens de l’art. 429 CPP d’un montant de 1'009 fr. 65 lui est allouée et que l’entier des frais de procédure est laissé à la charge de l’Etat.</w:t>
      </w:r>
    </w:p>
    <w:p>
      <w:r>
        <w:t>- 6 - Le 18 mars 2020, le Ministère public a déposé des déterminations et a conclu au rejet du recours. Le 23 mars 2020, l’autorité de céans a transmis ces déterminations à W.________. En d roit : 1. 1.1 Interjeté en temps utile contre une ordonnance de classement rendue par le Ministère public (art. 322 al. 2 et 396 al. 1 CPP ; cf. art. 20 al. 1 let. b CPP [Code de procédure pénale suisse du 5 octobre 2007 ; RS 312.0]), par une partie qui a qualité pour recourir (art. 382 al. 1 CPP) et dans les formes prescrites (art. 385 al. 1 CPP), le recours de W.________ est recevable. 1.2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 [Loi d'organisation judiciaire du 12 décembre 1979 ; BLV 173.01]). 2. 2.1 Le recourant reproche au Ministère public d’avoir mis les frais de procédure à sa charge et d’avoir ainsi, en violation du principe de la présomption d’innocence, trouvé un moyen de lui infliger une sorte de sanction pénale. Il relève qu’il a toujours nié avoir violé un quelconque devoir lui incombant de par sa fonction d’administrateur, encore moins en omettant de tenir une comptabilité régulière, et qu’aucun élément ne permettrait de retenir la moindre responsabilité civile de sa part. Le recourant reproche également au Ministère public d’avoir refusé de lui allouer une indemnité fondée sur l’art. 429 CPP. A cet égard,</w:t>
      </w:r>
    </w:p>
    <w:p>
      <w:r>
        <w:t>- 7 - il invoque une violation de son droit d’être entendu et le déni de justice. Il fait valoir que, par courrier du 5 octobre 2018, il avait sollicité l’octroi d’une telle indemnité et que celle-ci portait sur l’entier de la procédure pénale, et non seulement le volet de l’enquête ayant fait l’objet de l’ordonnance de classement du 1er février 2019. 2.2 2.2.1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w:t>
      </w:r>
    </w:p>
    <w:p>
      <w:r>
        <w:t>- 8 -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Le fait de violer diverses normes juridiques en matière de sociétés anonymes constitue un comportement illicite (Fontana, in : Jeanneret/Kuhn/Perrier Depeursinge [éd.], Commentaire romand, Code de procédure pénale suisse, 2e éd., Bâle 2019, n. 2 ad art. 426 CPP et l’arrêt 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 2.2.2 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 TF 6B_548/2018 du 18 juillet 2018 consid. 1.1.2). Lorsque la condamnation aux frais n'est que partielle, la réduction de l'indemnité devrait s'opérer dans la même mesure (TF 6B_548/2018 du 18 juillet 2018 consid. 1.1.2 et les arrêts cités). En revanche, si l'Etat</w:t>
      </w:r>
    </w:p>
    <w:p>
      <w:r>
        <w:t>- 9 -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6B_548/2018 du 18 juillet 2018 consid. 1.1.2 et l’arrêt cité). 2.3 2.3.1 En l’espèce, le recourant n’a été libéré de l’infraction d’inobservation des prescriptions légales sur la comptabilité qu’en raison de la prescription, et non pas parce que les conditions de cette contravention n’étaient pas réalisées. Dans ce cadre, il était reproché à l’intéressé de ne pas avoir tenu, entre le 1er janvier et le 30 décembre 2015, en sa qualité d’administrateur de R.________, de comptabilité séparée pour la société simple qu’il avait créée avec T.________, notamment, et de l’avoir intégrée dans la comptabilité de la société précitée. Or, en adoptant un tel comportement, W.________ a manifestement contrevenu à ses obligations de tenir une comptabilité régulière au sens de l’art. 957 CO. Le prénommée soutient sur ce point qu’il n’aurait pas engagé sa responsabilité civile parce qu’il n’aurait commis aucun dommage. Cependant, cela n’y change rien, la survenance d’un dommage n’étant en l’occurrence pas déterminante (cf. en ce sens TF 6B_20/2017 du 6 septembre 2017 consid. 7.3). Ainsi, en agissant comme il l’a fait, le recourant a adopté un comportement illicite et fautif sur le plan civil. En outre, ce comportement a donné lieu à l’ouverture de la procédure pénale, dès lors que T.________ a déposé plainte parce qu’il n’arrivait pas identifier les pertes et profits réalisés par la société simple qu’il avait créée avec le recourant (P. 4, p. 7ss). Dans ces conditions, c’est à juste titre que le Ministère public a décidé de mettre les frais de procédure de l’ordonnance de classement du 24 février 2020 à sa charge. A cet égard, on relève que la répartition opérée par le Procureur, non contestée en tant que telle par le recourant, ne prête pas le flanc à la critique.</w:t>
      </w:r>
    </w:p>
    <w:p>
      <w:r>
        <w:t>- 10 - 2.3.2 Dans l’ordonnance attaquée, le Ministère public a refusé d’allouer une indemnité au sens de l’art. 429 CPP au motif que le recourant n’en n’avait sollicité aucune. Or, comme l’a relevé l’intéressé dans son recours, le Procureur ne peut être suivi sur ce point. En effet, dans son ordonnance de classement du 1er février 2019, le Ministère public avait implicitement considéré que le recourant avait sollicité une indemnité au sens de l’art. 429 CPP pour l’ensemble de la procédure, y compris s’agissant de la contravention d’inobservation des prescriptions légales sur la comptabilité, dès lors que, dans cette ordonnance, il avait expressément indiqué que cette indemnité devait être réduite à hauteur d’un cinquième pour tenir compte de sa condamnation pour ce chef d’accusation. Cela étant, dans la mesure où, pour les motifs développés ci- dessus, les frais de la procédure doivent être mis à la charge du recourant sur ce point, celui-ci n’a pas droit, selon l’art. 430 al. 1 let. a CPP et la jurisprudence y relative, à l’allocation d’une indemnité au sens de l’art. 429 al. 1 let. a CPP. Ainsi, par substitution de motifs, l’ordonnance attaquée doit également être confirmée sur ce point. 3. Il résulte de ce qui précède que le recours, mal fondé, doit être rejeté et l’ordonnance attaquée confirmée. Les frais de la procédure de recours, constitués du seul émolument d’arrêt, par 900 fr. (art. 20 al. 1 TFIP [Tarif des frais judiciaires de procédure et indemnités en matière pénale du 28 septembre 2010 ; BLV 312.03.1]), seront mis à la charge du recourant, qui succombe (art. 428 al. 1 CPP).</w:t>
      </w:r>
    </w:p>
    <w:p>
      <w:r>
        <w:t>- 11 - Par ces motifs, le juge unique prononce : I. Le recours est rejeté. II. L’ordonnance du 24 février 2020 est confirmée. III. Les frais d’arrêt, par 900 fr. (neuf cents francs), sont mis à la charge de W.________. IV. L’arrêt est exécutoire. Le juge unique : Le greffier : Du Le présent arrêt, dont la rédaction a été approuvée à huis clos, est notifié, par l'envoi d'une copie complète, à : - Me Cédric Aguet, avocat (pour W.________), - M. T.________,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