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PE16.004499 vom 12. August 2016</w:t>
      </w:r>
    </w:p>
    <w:p>
      <w:r>
        <w:t>VD Tribunal cantonal, 2016-08-12, FR</w:t>
      </w:r>
    </w:p>
    <w:p>
      <w:r>
        <w:rPr>
          <w:b/>
        </w:rPr>
        <w:t xml:space="preserve">Quelle: </w:t>
      </w:r>
      <w:r>
        <w:t>https://mcp.opencaselaw.ch/entscheid/vd_gerichte_PE16.004499</w:t>
      </w:r>
    </w:p>
    <w:p>
      <w:r>
        <w:t>FR: VD_GERICHTE PE16.004499 du 12 août 2016</w:t>
      </w:r>
    </w:p>
    <w:p>
      <w:r>
        <w:t>IT: VD_GERICHTE PE16.004499 del 12 agosto 2016</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 RS 312.0]) est susceptible d’un recours immédiat au sens des art. 393 ss CPP (Stephenson/Thiriet, in : Niggli/Heer/Wiprächtiger [éd.], Basler Kommentar, Schweizerische Strafprozessordnung, Jugendstrafprozessordnung, 2e éd., Bâle 2014, n. 10 ad art. 393 CPP ; CREP 2 décembre 2015/788). Elle peut être attaquée dans les dix jours devant l’autorité de recours (art. 396 al. 1 CPP ;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 En l'espèce, interjeté dans le délai légal auprès de l’autorité compétente par une partie qui a qualité pour recourir (cf. art. 382 al. 1 CPP) et satisfaisant aux conditions de forme posées par l’art. 385 al. 1 CPP, le recours est recevable.</w:t>
      </w:r>
    </w:p>
    <w:p>
      <w:r>
        <w:rPr>
          <w:b/>
        </w:rPr>
        <w:t>E. 2.1</w:t>
      </w:r>
    </w:p>
    <w:p>
      <w:r>
        <w:t>La recourante soutient que les deux enquêtes pénales dirigées contre elle n’auraient aucun rapport l’une avec l’autre, de sorte qu’elles devraient être traitées séparément.</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la procédure la règle, dans un but d'économie de procédure, mais aussi dans</w:t>
      </w:r>
    </w:p>
    <w:p>
      <w:r>
        <w:t>- 4 - celui de prévenir des décisions contraires (ATF 138 IV 214 consid. 3.2 ; Moreillon/Parein-Reymond, Petit Commentaire du Code de procédure pénale, 2e éd., Bâle 2016, n. 2 ad art. 30 CPP). Le Ministère public est ainsi tenu de joindre des procédures à l’encontre du même prévenu quand bien même la nature des infractions est fort différente (ATF 138 IV 214 consid. 3.2 ; Moreillon/Parein-Reymond, op. cit., n. 5 ad art. 29 CPP). La jonction sert par ailleurs les intérêts du prévenu, dès lors qu’elle permet d’éviter une multitude de jugements, le prononcé d’une peine complémentaire ainsi que des frais supplémentaires (Moreillon/Parein-Reymond, op. cit., n.</w:t>
      </w:r>
    </w:p>
    <w:p>
      <w:r>
        <w:rPr>
          <w:b/>
        </w:rPr>
        <w:t>E. 2.3</w:t>
      </w:r>
    </w:p>
    <w:p>
      <w:r>
        <w:t>En l’espèce, le Procureur a joint les deux procédures pénales au motif qu’elles étaient connexes. Cependant, force est de constater, comme le relève la recourante, que c’est inexact. Il est en effet reproché à la recourante d’avoir commis, entre le 20 et le 21 février 2016, des dommages à la propriété sur un véhicule stationné dans un parking souterrain à Lausanne dans le cadre de l’enquête PE16.004499-LAL, tandis qu’il lui est reproché d’avoir induit la justice en erreur en déposant une plainte pénale mensongère en date du 3 juin 2016, à [...], dans le second cas (n° PE16.013799-LAL). Néanmoins, quand bien même les deux affaires, et les infractions en cause, sont différentes, il se justifie de joindre les deux cas afin de respecter le principe de l’unité de procédure. Cela est dans l’intérêt de la recourante puisqu’elle pourra être jugée en une seule fois sur l’ensemble des faits qui lui sont reprochés, sans engendrer de frais supplémentaires. Au surplus, aucune autre raison objective justifiant une instruction séparée ne ressort du dossier. Partant, le décision de jonction du Ministère public ne prête pas le flanc à la critique et doit être confirmée.</w:t>
      </w:r>
    </w:p>
    <w:p>
      <w:r>
        <w:rPr>
          <w:b/>
        </w:rPr>
        <w:t>E. 3</w:t>
      </w:r>
    </w:p>
    <w:p>
      <w:r>
        <w:t>En définitive, le recours doit être rejeté, sans échange d’écritures (art. 390 al. 2 CPP), et l’ordonnance de jonction du 21 juillet 2016 confirmée.</w:t>
      </w:r>
    </w:p>
    <w:p>
      <w:r>
        <w:t>- 5 - Les frais de la procédure de recours, constitués en l’espèce du seul émolument d’arrêt, par 550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21 juillet 2016 est confirmée. III. Les frais d’arrêt, par 550 fr. (cinq cent cinquante francs), sont mis à la charge de C.________. IV. L’arrêt est exécutoire. Le président : Le greffier : Du Le présent arrêt, dont la rédaction a été approuvée à huis clos, est notifié, par l'envoi d'une copie complète, à : - Mme C.________, - Ministère public central,</w:t>
      </w:r>
    </w:p>
    <w:p>
      <w:r>
        <w:t>- 6 - et communiqué à : - Mme la Procureure de l’arrondissement de Lausanne, - M. H.________, - Mme [...], - M. [...], - Mme 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