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PE16.004190 vom 12. April 2019</w:t>
      </w:r>
    </w:p>
    <w:p>
      <w:r>
        <w:t>VD Tribunal cantonal, 2019-04-12, FR</w:t>
      </w:r>
    </w:p>
    <w:p>
      <w:r>
        <w:rPr>
          <w:b/>
        </w:rPr>
        <w:t xml:space="preserve">Quelle: </w:t>
      </w:r>
      <w:r>
        <w:t>https://mcp.opencaselaw.ch/entscheid/vd_gerichte_PE16.004190</w:t>
      </w:r>
    </w:p>
    <w:p>
      <w:r>
        <w:t>FR: VD_GERICHTE PE16.004190 du 12 avril 2019</w:t>
      </w:r>
    </w:p>
    <w:p>
      <w:r>
        <w:t>IT: VD_GERICHTE PE16.004190 del 12 aprile 2019</w:t>
      </w:r>
    </w:p>
    <w:p>
      <w:pPr>
        <w:pStyle w:val="Heading2"/>
      </w:pPr>
      <w:r>
        <w:t>Erwägungen</w:t>
      </w:r>
    </w:p>
    <w:p>
      <w:r>
        <w:rPr>
          <w:b/>
        </w:rPr>
        <w:t>E. 1</w:t>
      </w:r>
    </w:p>
    <w:p>
      <w:r>
        <w:t>aCP, dans sa version antérieure à la révision de la partie générale du Code pénal, modifiée par la novelle du 13 décembre 2002, en vigueur depuis le 1er janvier 2007 [FF 2002 7658]), puis, dès le 1er janvier 2007, d’une peine privative de liberté de trois ans au plus ou d’une peine pécuniaire (art. 158 ch. 1 al. 1 CP). A cette époque, l’action pénale se prescrivait par sept ans (cf. art. 70 al. 1 let. c aCP, dans sa teneur avant le 1er janvier 2007 ; puis, pour les faits survenus postérieurement, cf. art. 97 al. 1 aCP, dans sa teneur jusqu’à sa modification par la novelle du 21 juin 2013, entrée en vigueur le 1er janvier 2014 (RO 2013 4417 ; FF 2012 8533). La gestion déloyale aggravée se prescrivait quant à elle par quinze ans (cf. art. 158 ch. 1 al. 3 et art. 70 al. 2 aCP, dans sa teneur jusqu’au 1er janvier 2007, et art. 97 al. 1 aCP dans sa teneur jusqu’au 1er janvier 2014). Comme en droit actuel (cf. art. 97 al. 3 et 98 CP), la prescription courait en principe du jour où l’auteur avait exercé son activité coupable (art. 71 let.</w:t>
      </w:r>
    </w:p>
    <w:p>
      <w:r>
        <w:t>- 13 - a aCP, dans sa teneur avant la révision de la partie générale du Code pénal), jusqu’à ce qu’un jugement de première instance ait été rendu (art. 70 al. 3 aCP, dans sa teneur avant le 1er janvier 2007). Dans la mesure où les dispositions de l’ancien droit relatives à la prescription sont plus favorables au prévenu que celles du droit actuellement en vigueur, qui prévoient un délai de prescription de dix ans pour l’infraction de gestion déloyale sans dessein d’enrichissement illégitime (cf. art. 158 ch. 1 al. 1 et 97 al. 1 let. c CP), et de quinze ans en présence d’un dessein d’enrichissement illégitime (cf. art. 158 ch. 1 al. 3 et 97 al. 1 let. b CP), ce sont les premières qui s’appliquent à la présente espèce (art. 389 al. 1 CP a contrario). 2.3 Les recourants B.H.________ et B.________ font valoir, chacun pour son cas, que l’instruction ne permettrait pas d’exclure clairement l’existence d’un dessein d’enrichissement illégitime chez le prévenu F.________. Selon eux, le prévenu aurait agi dans le but de garder ses clients et de percevoir des commissions supplémentaires, soit directement soit par l’intermédiaire de son employeur, étant vraisemblable qu’au moment des faits, le prévenu percevait une rémunération d’P.________ qui, pour partie en tout cas, dépendait du montant des commissions qu’il permettait à P.________ d’obtenir de ses clients. La qualification de gestion déloyale aggravée au sens de l’art. 158 ch. 1 al. 3 CP ne pourrait dès lors pas être exclue, si bien que la prescription de l’action pénale ne serait pas acquise. On relèvera que l’instruction n’a révélé aucun indice permettant de suspecter le prévenu de barattage – c’est-à-dire de multiplication inutile des transactions dans le but de percevoir plus de commissions. D’ailleurs, dans leur recours, B.H.________ et B.________ ne citent eux-mêmes pas un seul exemple d’une telle multiplication. En outre, s’il est possible que le contrat qui liait les recourants à P.________ ait prévu le paiement de commissions de performance et que l’intimé ait été conscient que s’il parvenait à faire réaliser des gains plus élevés à ses mandants, les commissions de performance seraient elles aussi plus élevées, il n’en reste pas moins, d’une part, que le but poursuivi par le</w:t>
      </w:r>
    </w:p>
    <w:p>
      <w:r>
        <w:t>- 14 - prévenu était d’abord de faire gagner de l’argent à ses mandants et, d’autre part, qu’en cas de succès, les commissions auraient été dues, de sorte que leur recherche ne constitue pas un dessein d’enrichissement illégitime. Le même raisonnement peut être tenu à l’égard des bonus que l’intimé pourrait avoir reçus d’P.________ à raison des commissions perçues par elle. Ainsi, on peut exclure, sans qu’il soit nécessaire d’ordonner des mesures d’instruction complémentaires sur le mode de rémunération du prévenu, que celui-ci ait été mû par un dessein d’enrichissement illégitime au sens de l’art. 158 ch. 1 al. 3 CP. Par conséquent, F.________ pourrait tout au plus être accusé de gestion déloyale simple, au sens de l’art. 158 ch. 1 al. 1 CP, délit pour lequel l’action pénale se prescrivait par sept ans avant l’entrée en vigueur de la novelle du 21 juin 2013, le 1er janvier 2014. Les seules violations des devoirs de gestion que l’on puisse éventuellement – la question pouvant rester ouverte – reprocher au prévenu, selon l’ordonnance attaquée, remontant à la fin de l’année 2007 au préjudice de B.________ et à avant février 2008 au préjudice de B.H.________, l’action pénale est donc prescrite depuis février 2015. Partant, c’est à bon droit que le Ministère public a classé la procédure pénale dirigée contre F.________.</w:t>
      </w:r>
    </w:p>
    <w:p>
      <w:r>
        <w:rPr>
          <w:b/>
        </w:rPr>
        <w:t>E. 3.1</w:t>
      </w:r>
    </w:p>
    <w:p>
      <w:r>
        <w:t>Le recourant F.________ conteste avoir commis un acte illicite et fautif permettant de le condamner à une partie des frais de procédure et de réduire l’indemnité qui lui est due en vertu de l’art. 429 CPP.</w:t>
      </w:r>
    </w:p>
    <w:p>
      <w:r>
        <w:rPr>
          <w:b/>
        </w:rPr>
        <w:t>E. 3.2</w:t>
      </w:r>
    </w:p>
    <w:p>
      <w:r>
        <w:t>L'art. 423 CPP prévoit que les frais de procédure sont mis à la charge de la Confédération ou du canton qui a conduit la procédure, sauf disposition contraire de la loi. Aux termes de l'art. 426 al. 2 CPP, lorsque la procédure fait l'objet d'une ordonnance de classement ou que le prévenu est acquitté, tout ou partie des frais de procédure peuvent être mis à sa charge s'il a,</w:t>
      </w:r>
    </w:p>
    <w:p>
      <w:r>
        <w:t>- 15 - de manière illicite et fautive, provoqué l'ouverture de la procédure ou rendu plus difficile la conduite de celle-ci. 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laissés à la charge de l'Etat, le prévenu a droit à une indemnité (ATF 137 IV 352 consid. 2.4.2). Une condamnation aux frais n'est admissible que si le prévenu a provoqué l'ouverture de la procédure pénale dirigée contre lui ou s'il en a entravé le cours (TF 6B_957/2017 du 24 avril 2018 consid. 2.2 et les réf. cit. ; ATF 116 Ia 162, JdT 1992 IV 52, spéc. consid. 2d aa). A cet égard, seul un comportement fautif et contraire à une règle juridique, qui soit en relation de causalité avec les frais imputés, entre en ligne de compte (ATF 119 Ia 332 consid. 1b ; ATF 116 Ia 162 consid. 2c ; TF 6B_301/2017 du 20 février 2018 consid. 1.1 ; TF 6B_1382/2016 du 16 octobre 2017 consid. 1.2.2 ; TF 6B_1191/2016 du 12 octobre 2017 consid. 2.4).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loi fédérale complétant le Code civil suisse du 30 mars 1911 ; RS 220), pour autant que ce comportement ne viole pas uniquement une obligation contractuelle (ATF 74 II 23 consid. 1b, JdT 1948 I 354). En effet, la seule violation d’une obligation contractuelle ne constitue pas un acte illicite au sens de l’art. 41 CO et ne peut donc pas fonder une condamnation à tout ou partie des frais de procédure, ni une réduction d’une indemnité due en vertu de l’art. 429 CPP (CREP 24 mai 2016/343 consid. 2.1 ; Juge unique CREP 18 août 2014/571 consid. 3.2).</w:t>
      </w:r>
    </w:p>
    <w:p>
      <w:r>
        <w:t>- 16 - Le fait reproché doit constituer une violation claire de la norme de comportement (ATF 119 la 332 consid. 1b ; TF 6B_1191/2016 précité consid. 2.4). L’acte répréhensible n’a pas à être commis intentionnellement ; la négligence suffit, sans qu’il soit besoin qu’elle soit grossière (ATF 109 Ia 160 consid. 4a). L’acte répréhensible doit en outre se trouver dans une relation de causalité adéquate avec l’ouverture de l’enquête ou les obstacles mis à celle-ci. Tel est notamment le cas lorsque le comportement du prévenu, violant clairement des prescriptions écrites fédérales ou cantonales, était propre à faire naître, selon le cours ordinaire des choses et l’expérience de la vie, le soupçon d’un comportement punissable justifiant l’ouverture d’une enquête pénale (ATF 116 Ia 162 consid. 2c ; cf. également CREP 16 août 2016/551 consid. 2 et les références citées). En d’autres termes,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 TF 6B_1191/2016 précité consid. 2.4 ; cf. art. 426 al. 3 let. a CPP). La mise des frais à la charge du prévenu en cas d'acquittement ou de classement de la procédure doit en effet rester l'exception (ATF 116 Ia 162 consid. 2c). La condamnation d'un prévenu acquitté à supporter tout ou partie des frais doit respecter la présomption d'innocence, consacrée par les art. 32 al. 1 Cst. et 6 par. 2 CEDH (Convention du 4 novembre 1950 de sauvegarde des droits de l'homme et des libertés fondamentales ; RS 0.101). Celle-ci interdit de rendre une décision défavorable au prévenu libéré en laissant entendre que ce dernier serait néanmoins coupable des infractions qui lui étaient reprochées. La condamnation aux frais ne saurait ainsi constituer une peine déguisée qui laisserait supposer que le prévenu est coupable ou qu’il subsisterait un soupçon à son encontre (Moreillon/Parein-Reymond, Petit commentaire du Code de procédure pénale, Bâle 2016, n. 13 ad art. 426 et la réf. cit.). Selon la jurisprudence de la Cour européenne des droits de l’Homme, l’art. 6 par. 2 CEDH est violé si une décision donne le sentiment que le prévenu n’a échappé à une</w:t>
      </w:r>
    </w:p>
    <w:p>
      <w:r>
        <w:t>- 17 - condamnation qu’en raison de la seule prescription (cf. CourEDH no 5689/08 du 3 mai 2011, Giosakis c. Grèce, § 41 et 42).</w:t>
      </w:r>
    </w:p>
    <w:p>
      <w:r>
        <w:rPr>
          <w:b/>
        </w:rPr>
        <w:t>E. 3.3</w:t>
      </w:r>
    </w:p>
    <w:p>
      <w:r>
        <w:t>En l’espèce, les fautes que le Ministère public impute à F.________ – qui les conteste – consistent dans le non-respect de certaines instructions que les clients d’P.________ auraient données pour la gestion de leurs avoirs ; il s’agit donc exclusivement de fautes contractuelles. Le Ministère public n’était ainsi pas fondé à mettre à la charge du prévenu tout ou partie des frais de procédure, ni à réduire l’indemnité qui lui est due en vertu de l’art. 429 CPP (cf. infra, consid. 4.2). Par conséquent, il convient de modifier l’ordonnance de classement en ce sens que les frais de procédure doivent être laissés à la charge de l’Etat et que l’indemnité qui doit être allouée à F.________ au titre de l’art. 429 al. 1 let. a CPP se monte à 28'507 fr. 10, soit au montant fixé par le procureur avant la déduction opérée en application de l’art. 430 al. 1 let. a CPP.</w:t>
      </w:r>
    </w:p>
    <w:p>
      <w:r>
        <w:rPr>
          <w:b/>
        </w:rPr>
        <w:t>E. 4.1</w:t>
      </w:r>
    </w:p>
    <w:p>
      <w:r>
        <w:t>Au vu de ce qui précède, le recours déposé par B.________ et B.H.________, manifestement mal fondé, doit être rejeté sans échange d’écritures (art. 390 al. 2 CPP), tandis que le recours déposé par F.________ doit être admis. Il s’ensuit que l’ordonnance doit être modifiée dans le sens des considérants et confirmée pour le surplus.</w:t>
      </w:r>
    </w:p>
    <w:p>
      <w:r>
        <w:rPr>
          <w:b/>
        </w:rPr>
        <w:t>E. 4.2</w:t>
      </w:r>
    </w:p>
    <w:p>
      <w:r>
        <w:t>Les frais de la procédure de recours, constitués en l'espèce du seul émolument d'arrêt, par 1’760 fr. (art. 422 al. 1 CPP et 20 al. 1 TFIP [tarif des frais de procédure et indemnités en matière pénale du 28 septembre 2010 ; BLV 312.03.1]), seront mis par moitié à la charge des recourants B.________ et B.H.________, qui succombent et supporteront par conséquent la part des frais de deuxième instance imputables à leur recours (art. 428 al. 2 let. a CPP). Le solde des frais judiciaires, relatif au recours déposé par F.________, qui obtient gain de cause, sera laissé à la charge de l’Etat (art. 423 al. 1 CPP).</w:t>
      </w:r>
    </w:p>
    <w:p>
      <w:r>
        <w:t>- 18 -</w:t>
      </w:r>
    </w:p>
    <w:p>
      <w:r>
        <w:rPr>
          <w:b/>
        </w:rPr>
        <w:t>E. 4.3</w:t>
      </w:r>
    </w:p>
    <w:p>
      <w:r>
        <w:t>Il y a lieu d’allouer une juste indemnité à F.________ pour les frais que lui a occasionnés sa défense dans la procédure de recours, dès lors qu’il a obtenu gain de cause (art. 436 al. 2 CPP). Cette indemnité sera fixée à 1'615 fr. 50 (soit 5 heures à 300 fr. [art. 26a al. 3 TFIP] + TVA au taux de 7,7 %), à la charge de l’Etat. F.________ n’a cependant pas droit à une indemnité en relation avec le recours déposé par B.________ et B.H.________, dès lors qu’il n’a pas été invité à déposer une réponse. Par ces motifs, la Chambre des recours pénale prononce : I. Le recours de B.H.________ et B.________ est rejeté. II. Le recours de F.________ est admis. III. Les chiffres II, IV et V de l’ordonnance de classement du 11 octobre 2018 sont modifiés comme suit : « II. alloue à F.________ une indemnité de 28'507 fr. 10 (vingt- huit mille cinq cent sept francs et dix centimes) au titre de l’art. 429 al. 1 let. a CPP ; IV. laisse les frais de procédure à la charge de l’Etat. V. (supprimé) » L’ordonnance est confirmée pour le surplus. IV. Les frais d’arrêt, par 1’760 fr. (mille sept cent soixante francs), sont mis pour moitié, par 880 fr. (huit cent huitante francs), à la charge des recourants B.________ et B.H.________, solidairement entre eux, et laissés pour moitié à la charge de l’Etat. V. Une indemnité de 1'615 fr. 50 (mille six cent quinze francs et cinquante centimes) est allouée à F.________ pour ses frais de défense en procédure de recours, à la charge de l’Etat.</w:t>
      </w:r>
    </w:p>
    <w:p>
      <w:r>
        <w:t>- 19 - VI. L’arrêt est exécutoire. Le président : La greffière : Du Le présent arrêt, dont la rédaction a été approuvée à huis clos, est notifié, par l'envoi d'une copie complète, à : - Me Jean-Marie Crettaz, avocat (pour B.H.________ et B.________), - Me Alain Dubuis, avocat (pour F.________), - Ministère public central, et communiqué à : - Me Jean-Marie Crettaz, avocat (pour L.________), - Mme A.H.________, - Me Jean-Christophe Diserens, avocat (pour P.________), - M. le procureur du Ministère public central, division criminalité économique,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