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PE16.003978 vom 31. März 2016</w:t>
      </w:r>
    </w:p>
    <w:p>
      <w:r>
        <w:t>VD Tribunal cantonal, 2016-03-31, FR</w:t>
      </w:r>
    </w:p>
    <w:p>
      <w:r>
        <w:rPr>
          <w:b/>
        </w:rPr>
        <w:t xml:space="preserve">Quelle: </w:t>
      </w:r>
      <w:r>
        <w:t>https://mcp.opencaselaw.ch/entscheid/vd_gerichte_PE16.003978</w:t>
      </w:r>
    </w:p>
    <w:p>
      <w:r>
        <w:t>FR: VD_GERICHTE PE16.003978 du 31 mars 2016</w:t>
      </w:r>
    </w:p>
    <w:p>
      <w:r>
        <w:t>IT: VD_GERICHTE PE16.003978 del 31 marzo 2016</w:t>
      </w:r>
    </w:p>
    <w:p>
      <w:pPr>
        <w:pStyle w:val="Heading2"/>
      </w:pPr>
      <w:r>
        <w:t>Erwägungen</w:t>
      </w:r>
    </w:p>
    <w:p>
      <w:r>
        <w:rPr>
          <w:b/>
        </w:rPr>
        <w:t>E. 1</w:t>
      </w:r>
    </w:p>
    <w:p>
      <w:r>
        <w:t>L.________, ressortissant chilien, né le 4 avril 1977, au bénéfice d’un permis B, divorcé, travaille à temps partiel comme formateur et recherche un emploi. Le prévenu perçoit 1'800 fr. par mois, dont 600 fr. lui sont versés par sa mère pour son loyer. Sa prime d’assurance-maladie mensuelle se monte à 200 fr. Il n'est pas subsidié. Ses impôts sont retenus à la source. Dépourvu d'économies, l'intéressé, n'a pas de dettes et ne fait</w:t>
      </w:r>
    </w:p>
    <w:p>
      <w:r>
        <w:t>- 3 - l'objet d'aucune poursuite. Il paie, pour son fils, âgé de 13 ans et vivant au Chili, une pension alimentaire de 100 fr. par mois.</w:t>
      </w:r>
    </w:p>
    <w:p>
      <w:r>
        <w:rPr>
          <w:b/>
        </w:rPr>
        <w:t>E. 2</w:t>
      </w:r>
    </w:p>
    <w:p>
      <w:r>
        <w:t>Le casier judiciaire suisse deL.________ est vierge.</w:t>
      </w:r>
    </w:p>
    <w:p>
      <w:r>
        <w:rPr>
          <w:b/>
        </w:rPr>
        <w:t>E. 2.1.1</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 Commentaire romand, Code de procédure pénale suisse du 5 octobre 2007; RS 312.0 suisse, Bâle 2011, n. 22 et 23 ad art. 398 CPP). Le principe de l'appréciation des preuves interdit d'attribuer d'entrée de cause une force probante accrue à certains moyens de</w:t>
      </w:r>
    </w:p>
    <w:p>
      <w:r>
        <w:t>- 6 - preuve, comme par exemple des rapports de police (TF 1P_283/2006 du 4 août 2006 consid. 2.3). Toute force probante ne saurait en revanche d'emblée être déniée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(TF 6S_703/1993 du 18 mars 1994 consid. 3b).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l 38 consid. 2a; ATF 136 III 552 consid. 4. 2).</w:t>
      </w:r>
    </w:p>
    <w:p>
      <w:r>
        <w:rPr>
          <w:b/>
        </w:rPr>
        <w:t>E. 2.1.2</w:t>
      </w:r>
    </w:p>
    <w:p>
      <w:r>
        <w:t>Aux termes de l'art. 28 du Règlement général de police de l'association de Communes Sécurité Riviera du 15 avril 2010, il est interdit de troubler la tranquillité et le repos des voisins par l'emploi d'instruments ou d’appareils sonores. En outre, dans les habitations, après 22 heures et avant 6 heures, l'emploi d'instruments de musique ou d'appareils diffuseurs du son n'est permis que pour autant que le bruit ne puisse être entendu des voisins.</w:t>
      </w:r>
    </w:p>
    <w:p>
      <w:r>
        <w:rPr>
          <w:b/>
        </w:rPr>
        <w:t>E. 2.2</w:t>
      </w:r>
    </w:p>
    <w:p>
      <w:r>
        <w:t>Il ressort des rapports de police que le prévenu a troublé la tranquillité de ses voisins en écoutant de la musique à un volume trop élevé les 19 et 31 décembre 2015 entre 4h et 5h du matin. II n'y a aucun</w:t>
      </w:r>
    </w:p>
    <w:p>
      <w:r>
        <w:t>- 7 - motif de douter des constatations effectuées par les policiers. Par ailleurs, il convient de relever que les deux rapports au dossier ont été établis par des agents différents. De plus, ceux-ci sont intervenus sur demande de voisins à l'évidence gênés par les nuisances nocturnes et non pas de leur propre initiative. En outre, on ne voit pas pour quel motif les policiers chercheraient à nuire à l'appelant. Enfin, on doit constater que les policiers avaient déjà dû intervenir à plusieurs reprises pour des problèmes du même genre au domicile de l'appelant. Sur la base de ces éléments, les faits doivent être considérés comme établis. Pour le surplus, l'appelant ne conteste pas avoir violé l'art. 28 du règlement précité. 3. Invoquant sa mauvaise situation financière, l'appelant conteste le montant de l'amende infligée.</w:t>
      </w:r>
    </w:p>
    <w:p>
      <w:r>
        <w:rPr>
          <w:b/>
        </w:rPr>
        <w:t>E. 3</w:t>
      </w:r>
    </w:p>
    <w:p>
      <w:r>
        <w:t>a) Le 19 décembre 2015 à [...], une patrouille de police appelée par le voisinage a constaté que de la musique à fort volume était diffusée dans l’appartement occupé parL.________. Les policiers ont sonné à plusieurs reprises, en vain. Ils ont entendu qu’une personne se trouvait dans l’appartement mais refusait d’ouvrir. Pour faire cesser les nuisances, ils ont dévissé un fusible avant de le revisser, sans réponse, ni réaction. L.________ a été dénoncé selon rapport du 22 décembre 2015 (cf. bordereau de la Commission de police Riviera, P. 1). b) Le 31 décembre 2015, vers 04h49, au même endroit, une patrouille de police sollicitée par le voisinage a constaté que de la musique était diffusée à un volume trop élevé dans l’appartement occupé par L.________. On pouvait en effet l’entendre depuis les étages inférieurs. Lorsque les policiers ont sonné, le volume a diminué et L.________ est venu ouvrir. Ils lui ont signifié l’établissement d’un rapport et l’ont mis en garde contre la récurrence de ses infractions. Le prévenu a été dénoncé selon rapport du 15 janvier 2016 (cf. bordereau de la Commission de police Riviera, P. 7)</w:t>
      </w:r>
    </w:p>
    <w:p>
      <w:r>
        <w:rPr>
          <w:b/>
        </w:rPr>
        <w:t>E. 3.1</w:t>
      </w:r>
    </w:p>
    <w:p>
      <w:r>
        <w:t>En vertu de l'art. 106 CP, sauf disposition contraire de la loi, le montant maximum de l'amende est de 10'000 fr. (al. 1). Le juge fixe l'amende et la peine privative de substitution en tenant compte de la situation de l'auteur afin que la peine corresponde à la faute commise (art. 106 al. 3 CP).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 ATF 119 IV 10). L'art. 106 al. 3 CP impose l'examen de la situation personnelle de l'auteur avant le prononcé d'une amende et de la peine privative de substitution, quel que soit le degré de gravité de la contravention commise (Dupuis et al., Petit commentaire du Code pénal, Bâle 2012, n. 7 ad art. 106 CP).</w:t>
      </w:r>
    </w:p>
    <w:p>
      <w:r>
        <w:rPr>
          <w:b/>
        </w:rPr>
        <w:t>E. 3.2</w:t>
      </w:r>
    </w:p>
    <w:p>
      <w:r>
        <w:t>L'amende prononcée en première instance est adéquate. Elle tient compte du comportement fautif de l'intéressé mais également de sa situation financière relativement précaire. Elle est ainsi exempte de tout reproche et doit être confirmée.</w:t>
      </w:r>
    </w:p>
    <w:p>
      <w:r>
        <w:t>- 8 - L'appel doit être rejeté sur ce point.</w:t>
      </w:r>
    </w:p>
    <w:p>
      <w:r>
        <w:rPr>
          <w:b/>
        </w:rPr>
        <w:t>E. 4</w:t>
      </w:r>
    </w:p>
    <w:p>
      <w:r>
        <w:t>L'appelant conteste également le montant des frais mis à sa charge.</w:t>
      </w:r>
    </w:p>
    <w:p>
      <w:r>
        <w:rPr>
          <w:b/>
        </w:rPr>
        <w:t>E. 4.1</w:t>
      </w:r>
    </w:p>
    <w:p>
      <w:r>
        <w:t>Selon l'art. 426 al. 1 CPP, le prévenu supporte les frais de procédure s'il est condamné.</w:t>
      </w:r>
    </w:p>
    <w:p>
      <w:r>
        <w:rPr>
          <w:b/>
        </w:rPr>
        <w:t>E. 4.2</w:t>
      </w:r>
    </w:p>
    <w:p>
      <w:r>
        <w:t>II résulte de la condamnation prononcée en première instance et, s'agissant du montant, de la note de frais ─ qui fait état, conformément à l'art. 19 al. 3 TFIP [Tarif des frais de procédure et indemnités en matière pénale du 28 septembre 2010; RSV 312.03.1], de 400 fr. pour une audience de moins d'une heure et de 100 fr. de frais de procédure ─ que les frais de justice de première instance mis à la charge de l'appelant sont justifiés. L.________ pourra demander un échelonnement dans le paiement de ces frais au service compétent pour le recouvrement des frais de justice.</w:t>
      </w:r>
    </w:p>
    <w:p>
      <w:r>
        <w:rPr>
          <w:b/>
        </w:rPr>
        <w:t>E. 5</w:t>
      </w:r>
    </w:p>
    <w:p>
      <w:r>
        <w:t>En définitive, manifestement mal fondé, l'appel doit être rejeté et le jugement attaqué confirmé. Vu l'issue de la cause, les frais d’appel, constitués du seul émolument de jugement, par 630 fr. (art. 21 al. 1 TFIP), sont mis à la charge de l’appelant qui succombe.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