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PE16.003454 vom 22. September 2016</w:t>
      </w:r>
    </w:p>
    <w:p>
      <w:r>
        <w:t>VD Tribunal cantonal, 2016-09-22, FR</w:t>
      </w:r>
    </w:p>
    <w:p>
      <w:r>
        <w:rPr>
          <w:b/>
        </w:rPr>
        <w:t xml:space="preserve">Quelle: </w:t>
      </w:r>
      <w:r>
        <w:t>https://mcp.opencaselaw.ch/entscheid/vd_gerichte_PE16.003454</w:t>
      </w:r>
    </w:p>
    <w:p>
      <w:r>
        <w:t>FR: VD_GERICHTE PE16.003454 du 22 septembre 2016</w:t>
      </w:r>
    </w:p>
    <w:p>
      <w:r>
        <w:t>IT: VD_GERICHTE PE16.003454 del 22 settembre 2016</w:t>
      </w:r>
    </w:p>
    <w:p>
      <w:pPr>
        <w:pStyle w:val="Heading2"/>
      </w:pPr>
      <w:r>
        <w:t>Erwägungen</w:t>
      </w:r>
    </w:p>
    <w:p>
      <w:r>
        <w:rPr>
          <w:b/>
        </w:rPr>
        <w:t>E. 3</w:t>
      </w:r>
    </w:p>
    <w:p>
      <w:r>
        <w:t>En définitive, le recours, manifestement mal fondé, doit être rejeté sans autre échange d’écritures (art. 390 al. 2 CPP) et l’ordonnance attaquée confirmée. La requête tendant à l’octroi de l’assistance judiciaire gratuite pour la procédure de recours doit être rejetée, le recours apparaissant d’emblée dénué de chances de succès (CREP 4 mai 2015/304 consid. 3 ; CREP 19 mars 2012/244 consid. 3).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avril 2016 est confirmée. III. La requête d’assistance judiciaire gratuite est rejetée. IV. Les frais d’arrêt, par 660 fr. (six cent soixante francs), sont mis à la charge d’C.________. V. L’arrêt est exécutoire. Le président : La greffière :</w:t>
      </w:r>
    </w:p>
    <w:p>
      <w:r>
        <w:t>- 7 - Du Le présent arrêt, dont la rédaction a été approuvée à huis clos, est notifié, par l'envoi d'une copie complète, à :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