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PE16.003147 vom 30. August 2016</w:t>
      </w:r>
    </w:p>
    <w:p>
      <w:r>
        <w:t>VD Tribunal cantonal, 2016-08-30, FR</w:t>
      </w:r>
    </w:p>
    <w:p>
      <w:r>
        <w:rPr>
          <w:b/>
        </w:rPr>
        <w:t xml:space="preserve">Quelle: </w:t>
      </w:r>
      <w:r>
        <w:t>https://mcp.opencaselaw.ch/entscheid/vd_gerichte_PE16.003147</w:t>
      </w:r>
    </w:p>
    <w:p>
      <w:r>
        <w:t>FR: VD_GERICHTE PE16.003147 du 30 août 2016</w:t>
      </w:r>
    </w:p>
    <w:p>
      <w:r>
        <w:t>IT: VD_GERICHTE PE16.003147 del 30 agosto 2016</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- 5 -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Schmocker, op. cit., n. 8 ad art. 221 CPP). Les autorités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in : Niggli/Heer/ Wiprächtiger [éd.], Basler Kommentar, Schweizerische Strafprozessordnung, 2e éd., Bâle 2014,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sous l'angle de la simple vraisemblance (ATF 137 IV 122 consid. 3.2).</w:t>
      </w:r>
    </w:p>
    <w:p>
      <w:r>
        <w:t>- 6 -</w:t>
      </w:r>
    </w:p>
    <w:p>
      <w:r>
        <w:rPr>
          <w:b/>
        </w:rPr>
        <w:t>E. 2.2</w:t>
      </w:r>
    </w:p>
    <w:p>
      <w:r>
        <w:t>En l’espèce, le recourant, qui admet une partie des faits qui lui sont reprochés, ne conteste pas, à juste titre, l’existence de soupçons suffisants de culpabilité à son encontre. Par ailleurs, il a notamment été mis en cause par le chauffeur de taxi s’agissant du cas du 8 juillet 2016.</w:t>
      </w:r>
    </w:p>
    <w:p>
      <w:r>
        <w:rPr>
          <w:b/>
        </w:rPr>
        <w:t>E. 3.1</w:t>
      </w:r>
    </w:p>
    <w:p>
      <w:r>
        <w:t>Le Tribunal des mesures de contrainte a retenu l’existence d’un risque de réitération.</w:t>
      </w:r>
    </w:p>
    <w:p>
      <w:r>
        <w:rPr>
          <w:b/>
        </w:rPr>
        <w:t>E. 3.2</w:t>
      </w:r>
    </w:p>
    <w:p>
      <w:r>
        <w:t>En l’espèce, A.________ a de nombreux antécédents judiciaires pour toute sorte d’infractions, en particulier pour des actes de violence, des crimes et des délits contre le patrimoine, des menaces et des infractions à la LCR. Il a en effet été condamné, tant par la justice des mineurs que par celle des adultes, à pas moins de huit reprises sur une période de moins de six ans. Le recourant a notamment exécuté une peine privative de liberté de trois mois dans un centre de détention pour</w:t>
      </w:r>
    </w:p>
    <w:p>
      <w:r>
        <w:t>- 7 - mineurs, après avoir été condamné le 27 janvier 2016 pour lésions corporelles simples, vol, brigandage, dommages à la propriété, menaces, violation de domicile et violence ou menace contre les autorités et les fonctionnaires notamment. Cela ne paraît pas l’avoir empêché de commettre de nouveaux actes de même nature que ceux pour lesquels il a été condamné une dizaine de jours après sa sortie de prison le 29 mai 2016. Force est donc de constater que les sanctions prononcées contre l’intéressé n’ont eu aucun effet dissuasif et qu’il ne fait montre d’aucune prise de conscience. Partant, le risque de réitération est manifeste. Par ailleurs, au regard des infractions qui sont reprochées au recourant dans le cadre de la présente affaire, les actes dont la réitération est redoutée sont graves, de sorte que l’intérêt de la sécurité publique doit prévaloir sur l’intérêt personnel du recourant à être remis en liberté.</w:t>
      </w:r>
    </w:p>
    <w:p>
      <w:r>
        <w:rPr>
          <w:b/>
        </w:rPr>
        <w:t>E. 4.1</w:t>
      </w:r>
    </w:p>
    <w:p>
      <w:r>
        <w:t>Le recourant soutient que le Tribunal des mesures de contrainte n’aurait pas la possibilité d’ordonner la prolongation de la détention provisoire dans la mesure où le Ministère public proposait des mesures de substitution en lieu et place de celle-ci. Il reproche en outre au Tribunal des mesures de contrainte d’avoir retenu que les mesures de substitution proposées n’étaient pas suffisantes.</w:t>
      </w:r>
    </w:p>
    <w:p>
      <w:r>
        <w:rPr>
          <w:b/>
        </w:rPr>
        <w:t>E. 4.2.1</w:t>
      </w:r>
    </w:p>
    <w:p>
      <w:r>
        <w:t>Selon l’art. 226 al. 4 let. c CPP, le Tribunal des mesures de contrainte peut ordonner une mesure de substitution en lieu et place de la détention provisoire. A l’inverse, il ne peut ordonner la détention provisoire lorsque le Ministère public n’a requis que des mesures de substitution. Le Tribunal des mesures de contrainte conserve toutefois la faculté de l’ordonner lorsque le Ministère public l’a requise à titre subsidiaire pour le cas où les mesures de substitution envisagées ne seraient pas jugées suffisantes (ATF 142 IV 29 consid. 3.5).</w:t>
      </w:r>
    </w:p>
    <w:p>
      <w:r>
        <w:t>- 8 -</w:t>
      </w:r>
    </w:p>
    <w:p>
      <w:r>
        <w:rPr>
          <w:b/>
        </w:rPr>
        <w:t>E. 4.2.2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4.3</w:t>
      </w:r>
    </w:p>
    <w:p>
      <w:r>
        <w:t>En l’espèce, le Ministère public a demandé le prononcé de mesures de substitution sous la forme de l’obligation pour le recourant d’avoir un travail régulier ou une formation, notamment auprès de l’entreprise [...], et de l’interdiction pour l’intéressé d’entretenir des relations avec certaines personnes, à savoir ses co-prévenus [...] et [...] et les plaignants de l’affaire. Par ailleurs, le recourant a accepté de se soumettre à un suivi médical.</w:t>
      </w:r>
    </w:p>
    <w:p>
      <w:r>
        <w:t>- 9 - A l’instar du Tribunal des mesures de contrainte, il y a lieu de constater que ces mesures sont totalement vaines. En effet, les mesures prévues par le droit pénal des mineurs qui ont été prononcées précédemment en sa faveur ont toutes échoué. En outre, comme on l’a vu, A.________ paraît avoir récidivé une dizaine de jours après sa libération de trois mois de peine privative de liberté prononcée par le juge des mineurs, alors même qu’il était en train d’effectuer un stage professionnel. A cet égard, force est dès lors de constater que la mesure de substitution consistant à astreindre le recourant à avoir un travail régulier ou à suivre une formation n’est pas propre à parer le risque de réitération. Par ailleurs, outre que l’on doute de l’efficacité d’une interdiction pour ce dernier de prendre contact avec ses amis et co-prévenus pour contenir ce risque, le respect de cette mesure apparaît, comme l’a relevé à juste titre le Tribunal des mesures de contrainte, difficilement vérifiable, de sorte qu’elle n’offre aucune garantie. En outre, l’amorce d’amendement dont A.________ a fait état apparaît de circonstance et sa récente prise de conscience consécutive à son incarcération dans une prison pour adultes semble toute relative. Dans ces conditions, le suivi médical proposé ne paraît pas non plus efficace, ce d’autant moins que l’intéressé n’est pas vraiment demandeur de ce suivi puisqu’il n’a fait aucune démarche concrète pour le mettre en œuvre. Enfin, aucune autre mesure de substitution n’est pertinente dans le cas d’espèce. Il résulte de ce qui précède que c’est à juste titre que le premier juge a considéré que les mesures de substitution envisagées n’étaient pas suffisantes pour parer le risque de réitération que présente le recourant. Par conséquent, le Tribunal des mesures de contrainte devait ordonner la prolongation de la détention provisoire du recourant requise à titre subsidiaire par le Procureur dans sa demande du 15 août 2016.</w:t>
      </w:r>
    </w:p>
    <w:p>
      <w:r>
        <w:rPr>
          <w:b/>
        </w:rPr>
        <w:t>E. 5</w:t>
      </w:r>
    </w:p>
    <w:p>
      <w:r>
        <w:t>Pour le surplus, compte tenu des antécédents du recourant, de la gravité et des nombreux agissements qui lui sont reprochés, ainsi que de la peine qui est susceptible d’être prononcée à son encontre en cas de condamnation, la prolongation de la détention provisoire ordonnée pour</w:t>
      </w:r>
    </w:p>
    <w:p>
      <w:r>
        <w:t>- 10 - une durée de trois mois demeure proportionnée (cf. art. 212 al. 3 CPP ; ATF 133 I 168 consid. 4.1 ; ATF 132 I 21 consid. 4.1).</w:t>
      </w:r>
    </w:p>
    <w:p>
      <w:r>
        <w:rPr>
          <w:b/>
        </w:rPr>
        <w:t>E. 6</w:t>
      </w:r>
    </w:p>
    <w:p>
      <w:r>
        <w:t>Il résulte de ce qui précède que le recours, manifestement mal fondé, doit être rejeté, sans échange d’écritures (art. 390 al. 2 CPP), et l’ordonnance du 22 août 2016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720 fr., plus la TVA par 57 fr. 60, soit à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22 août 2016 est confirmée. III. L’indemnité allouée au défenseur d’office d’A.________ est fixée à 777 fr. 60 (sept cent septante-sept francs et soixante centimes). IV. Les frais d’arrêt, par 1’100 fr. (mille cent francs), ainsi que l’indemnité due au défenseur d’office d’A.________, par 777 fr. 60 (sept cent septante-sept francs et soixante centimes), sont mis à la charge de ce dernier.</w:t>
      </w:r>
    </w:p>
    <w:p>
      <w:r>
        <w:t>- 11 - V. Le remboursement à l’Etat de l’indemnité allouée au chiffre III ci-dessus ne sera exigible que pour autant que la situation économique d’A.________ se soit améliorée. VI. L’arrêt est exécutoire. Le président : Le greffier : Du Le présent arrêt, dont la rédaction a été approuvée à huis clos, est notifié, par l'envoi d'une copie complète, à : - Me Manuela Ryter Godel, avocate (pour A.________),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- 12 -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