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PE16.002172 vom 13. Juni 2016</w:t>
      </w:r>
    </w:p>
    <w:p>
      <w:r>
        <w:t>VD Tribunal cantonal, 2016-06-13, FR</w:t>
      </w:r>
    </w:p>
    <w:p>
      <w:r>
        <w:rPr>
          <w:b/>
        </w:rPr>
        <w:t xml:space="preserve">Quelle: </w:t>
      </w:r>
      <w:r>
        <w:t>https://mcp.opencaselaw.ch/entscheid/vd_gerichte_PE16.002172</w:t>
      </w:r>
    </w:p>
    <w:p>
      <w:r>
        <w:t>FR: VD_GERICHTE PE16.002172 du 13 juin 2016</w:t>
      </w:r>
    </w:p>
    <w:p>
      <w:r>
        <w:t>IT: VD_GERICHTE PE16.002172 del 13 giugno 2016</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du Ministère public refusant de lever un séquestre (art. 263 CPP) est ainsi susceptible de recours selon les art. 393 ss CPP (Bommer/Goldschmid, in : Niggli/Heer/Wiprächtiger [éd.], Basler Kommentar, Schweizerische Strafprozessordnung, Jugendstrafprozessordnung, 2e éd., Bâle 2014, n. 66 ad art. 263 CPP ; CREP 5 novembre 2015/722). Ce recours s’exerce par écrit dans les dix jours auprès de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t>- 4 - 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2.1</w:t>
      </w:r>
    </w:p>
    <w:p>
      <w:r>
        <w:t>Le recourant conteste le refus de levée du séquestre de son téléphone portable, invoquant la violation du principe de proportionnalité, ainsi que des art. 197 et 263 CPP et de l’art. 36 Cst. (Constitution fédérale de la Confédération suisse du 18 avril 1999 ; RS 101). Il fait valoir que la mesure contestée ne serait de toute évidence pas apte à neutraliser ou à réduire le risque de récidive mis en avant par le Ministère public, que le fait de conserver son téléphone cellulaire n’entraverait pas son accès à ses données personnelles, lequel serait retardé de quelques minutes seulement, dès lors que l’obtention de nouveaux codes d’accès serait très simple et que son intérêt à recouvrer l’ensemble de ses données personnelles serait clairement prépondérant.</w:t>
      </w:r>
    </w:p>
    <w:p>
      <w:r>
        <w:rPr>
          <w:b/>
        </w:rPr>
        <w:t>E. 2.2.1</w:t>
      </w:r>
    </w:p>
    <w:p>
      <w:r>
        <w:t>En tant que mesure de contrainte au sens de l’art. 196 CPP, un séquestre (art. 263 ss CPP)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18 octobre 2013/647 consid. 3a et les références citées).</w:t>
      </w:r>
    </w:p>
    <w:p>
      <w:r>
        <w:rPr>
          <w:b/>
        </w:rPr>
        <w:t>E. 2.2.2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w:t>
      </w:r>
    </w:p>
    <w:p>
      <w:r>
        <w:t>- 5 -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qu'ils pourront être confisqués en application du droit fédéral (Lembo/Julen Berthod, in : Kuhn/Jeanneret [éd.], Commentaire romand, Code de procédure pénale suisse, Bâle 2011, n. 7 ad art. 263 CPP).</w:t>
      </w:r>
    </w:p>
    <w:p>
      <w:r>
        <w:rPr>
          <w:b/>
        </w:rPr>
        <w:t>E. 2.2.3</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La confiscation d'objets dangereux suppose ainsi – outre un rapport de connexité avec une infraction – la compromission de la sécurité des personnes, de la morale ou de l'ordre public. Le juge doit, partant, formuler un pronostic quant au risque d'atteinte aux biens juridiques précités dans l'hypothèse où l'objet serait laissé en main de l'auteur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6B_279/2011</w:t>
      </w:r>
    </w:p>
    <w:p>
      <w:r>
        <w:t>- 6 - du 20 juin 2011 consid. 4.1; TF 6B_748/2008 du 16 février 2009 consid. 4.5.1 à 4.5.4). Dans un arrêt relatif à la saisie de téléphones cellulaires utilisés par un trafiquant de drogue pour ses contacts avec les autres membres de son réseau et pour commettre ses forfaits (TF 6B_279/2011 du 20 juin 2011 consid. 4.2), le Tribunal fédéral a motivé leur confiscation par le fait que les téléphones mobiles litigieux, respectivement les cartes SIM y relatives, avaient servi à la commission des infractions retenues et qu'il n'était pas exclu que les données contenues dans les téléphones puissent permettre audit trafiquant de reprendre contact avec le réseau subsistant à l'étranger, de sorte que l'utilisation de ces données était susceptible de compromettre à nouveau la sécurité des personnes et l'ordre public. La remise de ces objets à l'intéressé n'offrait aucune garantie particulière quant à leur utilisation exclusivement licite dans le futur. Le Tribunal fédéral a enfin considéré que, compte tenu du nombre de téléphones mobiles sans valeur particulière confisqués dans des procédures pénales, le tri systématique des données licites et illicites n'était pas envisageable pratiquement.</w:t>
      </w:r>
    </w:p>
    <w:p>
      <w:r>
        <w:rPr>
          <w:b/>
        </w:rPr>
        <w:t>E. 2.2.4</w:t>
      </w:r>
    </w:p>
    <w:p>
      <w:r>
        <w:t>Enfin, le séquestre pénal est une mesure provisoire fondée sur la vraisemblance ;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(ATF 139 IV 250 consid. 2.1; ATF 137 IV 145 consid. 6.4 et les références citées; TF 1B_127/2013 du 1er mai 2013 consid. 2). L'autorité doit pouvoir décider rapidement du séquestre provisoire (cf. art. 263 al. 2 CPP), ce qui exclut qu'elle résolve des questions juridiques complexes ou qu'elle attende d'être renseignée de manière exacte et complète sur les faits avant d'agir (ATF 116 Ib 96 consid. 3a). Ainsi, la réalisation des conditions du séquestre doit être régulièrement vérifiée par l'autorité compétente, avec une plus grande rigueur à mesure que l'enquête progresse (ATF 122 IV 91 consid. 4).</w:t>
      </w:r>
    </w:p>
    <w:p>
      <w:r>
        <w:t>- 7 - Cette mesure se justifie dès lors aussi longtemps que subsiste une probabilité de confiscation (SJ 1994 p. 90 et 102) et ne peut être levée que dans l’hypothèse où il est d’emblée manifeste et indubitable que les conditions matérielles d’une confiscation ne sont pas réalisées, et ne pourront l’être (TF 1B_127/2013 du 1er mai 2013 consid. 2). Conformément à l’art. 267 al. 1 CPP,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 but pour lequel le séquestre a été ordonné a disparu (Lembo/Julen Berthod, in : Kuhn/ Jeanneret [éd.], op. cit., n. 1 ad art. 267 CPP). C'est l'expression du principe de la proportionnalité qui doit être respecté, comme pour toutes les autres mesures de contrainte (cf. art. 197 al. 1 let. c CPP; art. 36 al. 3 Cst.; Bommer/Goldschmid, in : Niggli/Heer/Wiprächtiger [éd.], op. cit., n. 3 ad art. 267 CPP).</w:t>
      </w:r>
    </w:p>
    <w:p>
      <w:r>
        <w:rPr>
          <w:b/>
        </w:rPr>
        <w:t>E. 2.3</w:t>
      </w:r>
    </w:p>
    <w:p>
      <w:r>
        <w:t>En l’espèce, le Ministère public motive son refus de levée du séquestre par la nature conservatoire de celui-ci (art. 263 al. 1 let. d CPP). Il est établi que le téléphone cellulaire litigieux a été utilisé dans le cadre d’un trafic de marijuana et qu’il a servi au recourant pour la commission des infractions qui lui sont reprochées. Le recourant, qui a reconnu avoir fonctionné comme intermédiaire dans le cadre de ce trafic (PV aud. 3), ne conteste pas l’existence d’indices suffisants de culpabilité contre lui. Le risque que le recourant utilise à nouveau son appareil pour entrer en contact avec des fournisseurs de marijuana, des membres du réseau du trafic litigieux ou des clients est ainsi bien réel. Le recourant ne donne aucune garantie quant à une utilisation future licite de son appareil. Il affirme au contraire être en mesure de récupérer très facilement ses codes d’accès et ses données personnelles sans être en possession de son téléphone mobile, mais il reconnaît lui-même qu’il voulait récupérer son téléphone mobile pour avoir à nouveau accès à son répertoire de contacts et à ses données personnelles, de sorte qu’aucune mesure moins incisive n’apparaît à même de produire le résultat escompté. Le Tribunal fédéral a admis le séquestre de téléphones cellulaires lorsque ceux-ci avaient été</w:t>
      </w:r>
    </w:p>
    <w:p>
      <w:r>
        <w:t>- 8 - utilisés par un trafiquant de drogue (arrêt précité du 20 juin 2011). L’intérêt du recourant à recouvrer l’ensemble de ses données personnelles ne saurait s’opposer à la sécurité des personnes et à l’ordre public. Dans ces circonstances, une confiscation apparaît vraisemblable, de sorte que le séquestre du téléphone cellulaire du recourant, bien fondé, ne saurait être levé.</w:t>
      </w:r>
    </w:p>
    <w:p>
      <w:r>
        <w:rPr>
          <w:b/>
        </w:rPr>
        <w:t>E. 3</w:t>
      </w:r>
    </w:p>
    <w:p>
      <w:r>
        <w:t>En définitive, le recours, manifestement mal fondé, doit être rejeté sans autres échanges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de C.________, qui succombe (art. 428 al. 1 CPP). Le remboursement à l’Etat de l’indemnité allouée au défenseur d’office de C.________ ne sera toutefois exigible que pour autant que la situation économique de ce dernier se soit améliorée (art. 135 al. 4 CPP). Par ces motifs, la Chambre des recours pénale prononce : I. Le recours est rejeté.</w:t>
      </w:r>
    </w:p>
    <w:p>
      <w:r>
        <w:t>- 9 - II. L’ordonnance du 24 mai 2016 est confirmée. III. L’indemnité allouée au défenseur d’office de C.________ est fixée à 388 fr. 80 (trois cent huitante-huit francs et huitante centimes). IV. Les frais d’arrêt, par 880 fr. (huit cent huitante francs), ainsi que l’indemnité due au défenseur d’office de C.________, par 388 fr. 80 (trois cent huitante-huit francs et huitante centimes), sont mis à la charge de ce dernier. V. Le remboursement à l’Etat de l’indemnité allouée au chiffre III ci-dessus ne sera exigible que pour autant que la situation économique de C.________ se soit améliorée. VI. L’arrêt est exécutoire. Le président : La greffière : Du Le présent arrêt, dont la rédaction a été approuvée à huis clos, est notifié, par l'envoi d'une copie complète, à : - Me Astyanax Peca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