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PE16.002168 vom 12. Juni 2017</w:t>
      </w:r>
    </w:p>
    <w:p>
      <w:r>
        <w:t>VD Tribunal cantonal, 2017-06-12, FR</w:t>
      </w:r>
    </w:p>
    <w:p>
      <w:r>
        <w:rPr>
          <w:b/>
        </w:rPr>
        <w:t xml:space="preserve">Quelle: </w:t>
      </w:r>
      <w:r>
        <w:t>https://mcp.opencaselaw.ch/entscheid/vd_gerichte_PE16.002168</w:t>
      </w:r>
    </w:p>
    <w:p>
      <w:r>
        <w:t>FR: VD_GERICHTE PE16.002168 du 12 juin 2017</w:t>
      </w:r>
    </w:p>
    <w:p>
      <w:r>
        <w:t>IT: VD_GERICHTE PE16.002168 del 12 giugno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13 LVCPP [loi d’introduction du code de procédure pénale suisse du 19 mai 2009; RSV 312.01] et 80 LOJV [loi d'organisation judiciaire du 12 septembre 1979; RSV 173.01]). Le recours doit être envoyé par écrit, dans un délai de dix jours dès la notification de la décision attaquée (art. 322 al.</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t>- 5 -</w:t>
      </w:r>
    </w:p>
    <w:p>
      <w:r>
        <w:rPr>
          <w:b/>
        </w:rPr>
        <w:t>E. 3.1.1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ATF 121 IV 23 consid. 1; ATF 119 IV 127 consid. 2).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w:t>
      </w:r>
    </w:p>
    <w:p>
      <w:r>
        <w:t>- 6 - pas la volonté et la capacité de le restituer à ce moment précis (TF 6B_507/2015 du 25 février 2016 consid. 1).</w:t>
      </w:r>
    </w:p>
    <w:p>
      <w:r>
        <w:rPr>
          <w:b/>
        </w:rPr>
        <w:t>E. 3.1.2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TF 6B_117/2015 du 11 février 2016 consid. 2.3.1.1 et les réf. citées). Sur le plan subjectif, l'auteur doit avoir agi dans le dessein de se procurer ou de procurer à un tiers un enrichissement illégitime, correspondant au dommage de la dupe (ATF 134 IV 10 consid. 5.3; TF 6B_1115/2014 du 28 août 2015 consid. 2.1.4).</w:t>
      </w:r>
    </w:p>
    <w:p>
      <w:r>
        <w:rPr>
          <w:b/>
        </w:rPr>
        <w:t>E. 3.2</w:t>
      </w:r>
    </w:p>
    <w:p>
      <w:r>
        <w:t>En l'espèce, invoquant l’abus de confiance, le recourant soutient d’abord que le prévenu aurait gardé par devers lui le montant de</w:t>
      </w:r>
    </w:p>
    <w:p>
      <w:r>
        <w:t>- 7 - 7'470 fr. 50 versé le 17 octobre 2014. Il se fonde sur un décompte d’ [...] du 18 août 2015 (P. 6/5) indiquant que le plaignant avait versé ce montant (sous la forme des trois versements, de 5'000 fr., de 2’000 fr. et de 470 fr. 50, déjà mentionnés) au fournisseur, soit au prévenu. Il ressort du procès-verbal de l’audition de [...] par le Ministère public genevois (P. 22/3) que ce dernier a indiqué avoir reçu environ 7'000 fr. en liquide du plaignant et environ 22'000 fr. par virement bancaire du prévenu. Le recourant met toutefois en cause ces déclarations, au bénéfice des pièces 6/1 et 6/5. Il ressort effectivement de ces pièces que la somme de 7'470 fr. 50 a été remise au prévenu, mais que le destinataire final de ce paiement n’en était pas moins [...]. On ne discerne pas pourquoi ce dernier aurait dit avoir reçu cette somme, qui lui était due, si tel n’était pas le cas et si le prévenu l’avait gardée par devers lui. Même si [...] devait se tromper et aurait en fait reçu la somme en question non pas du plaignant, mais du prévenu qui, pour sa part, l’aurait reçue directement du plaignant, comme l’indiquent les pièces, ce qui importe en tout état de cause, c’est que le prévenu n’ait pas gardé la somme pour lui mais qu’elle soit parvenue au propriétaire du véhicule par une voie ou une autre. Dans tous les cas, il ne saurait dès lors y avoir abus de confiance, faute de chose confiée employée sans droit.</w:t>
      </w:r>
    </w:p>
    <w:p>
      <w:r>
        <w:rPr>
          <w:b/>
        </w:rPr>
        <w:t>E. 3.3</w:t>
      </w:r>
    </w:p>
    <w:p>
      <w:r>
        <w:t>Le recourant soutient ensuite que le kilométrage du véhicule était en fait de 240'000 km et non de 80'000 km, comme l’indiquent tant le compteur que le contrat de crédit-bail (P. 6/1), de sorte qu’il y aurait escroquerie à son préjudice du fait de l’intimé. Comme déjà relevé, la Procureure a exclu l'infraction d'escroquerie pour le motif que l’instruction avait établi que le prévenu n’était pas au courant du changement de kilométrage effectué par [...] sur le véhicule vendu. Ce dernier, entendu comme prévenu par le Ministère public de la République et Canton de Genève, a effectivement expliqué que le kilométrage de la BMW était de l’ordre de 176'000 km, qu’il avait effectué</w:t>
      </w:r>
    </w:p>
    <w:p>
      <w:r>
        <w:t>- 8 - sur ce véhicule un certain nombre de travaux (pour 12'000 fr. de pièces) et que, le compteur étant en panne, il l’avait changé et avait installé un compteur d’occasion affichant 77'000 ou 78'000 km (PV de l’audition du 24 novembre 2016, p. 4, sous P. 22/2). [...] a ajouté qu’E.________ n’était pas au courant de ce changement de compteur, mais que W.________ l’était. [...] a ainsi globalement corroboré les déclarations d’E.________ (PV aud. 1, déjà mentionné). Le recourant soutient toutefois que les déclarations de [...] ne sont pas crédibles, en particulier parce que l’intéressé était entendu comme prévenu et qu’elles s’avèrent dans leur ensemble fluctuantes. S’il est en effet douteux que le plaignant ait accepté un prix de 31'000 fr. pour un véhicule dont le kilométrage était de 176'000 km, il n’en reste pas moins que l’on ne voit pas pourquoi [...] aurait menti en indiquant qu’E.________ n’était pas au courant du changement de compteur. En effet, en soutenant le contraire, il reporterait la responsabilité de l’éventuelle escroquerie sur le fournisseur, soit E.________, en se dédouanant par la même occasion. De plus, ses déclarations sont largement confirmées par [...], plaignant dans la procédure genevoise (même audition). Il s’ensuit que, s’il l’on ne peut exclure que le recourant ait été trompé quant au kilométrage du véhicule, cette hypothèse ne permet pas pour autant de retenir une tromperie astucieuse au sens de l’art. 146 CP qui aurait été organisée par E.________.</w:t>
      </w:r>
    </w:p>
    <w:p>
      <w:r>
        <w:rPr>
          <w:b/>
        </w:rPr>
        <w:t>E. 3.4</w:t>
      </w:r>
    </w:p>
    <w:p>
      <w:r>
        <w:t>En définitive, tout porte à croire que les éléments constitutifs d’une quelconque infraction ne sont pas réunis et qu’une mise en accusation du prévenu aboutirait à un acquittement. Les conditions d’un classement de la procédure selon l’art. 319 al. 1 let. b CPP sont donc réunies.</w:t>
      </w:r>
    </w:p>
    <w:p>
      <w:r>
        <w:rPr>
          <w:b/>
        </w:rPr>
        <w:t>E. 4</w:t>
      </w:r>
    </w:p>
    <w:p>
      <w:r>
        <w:t>- 9 -</w:t>
      </w:r>
    </w:p>
    <w:p>
      <w:r>
        <w:rPr>
          <w:b/>
        </w:rPr>
        <w:t>E. 4.1</w:t>
      </w:r>
    </w:p>
    <w:p>
      <w:r>
        <w:t>Le recourant plaide encore une violation de son droit d’être entendu. Il fait grief à la Procureure d’avoir omis de statuer sur ses réquisitions contenues dans sa demande des 13 et 16 février 2017 et formulées dans le délai de prochaine clôture (P. 30 et 32/1), tendant à la production du dossier d’enquête genevois et à l’audition de [...], de sorte que la motivation de l’ordonnance de classement serait lacunaire.</w:t>
      </w:r>
    </w:p>
    <w:p>
      <w:r>
        <w:rPr>
          <w:b/>
        </w:rPr>
        <w:t>E. 4.2</w:t>
      </w:r>
    </w:p>
    <w:p>
      <w:r>
        <w:t>Le droit d'être entendu, garanti par l'art. 29 al. 2 Cst. (Constitution fédérale de la Confédération suisse du 18 avril 1999; RS 101), implique notamment pour l'autorité l'obligation de motiver sa décision, afin que le destinataire puisse la comprendre, l'attaquer utilement s'il y a lieu et que l'autorité de recours puisse exercer son contrôle. Il comprend aussi le droit pour le justiciable de s'exprimer sur les éléments pertinents avant qu'une décision ne soit prise touchant sa situation juridique (ATF 142 III 48 consid. 4.1.1 p. 52 s.; ATF 141 V 557 consid. 3.1 p. 564; ATF 138 III 252 consid. 2.2 p. 255 et les références citées).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Le droit d'être entendu est une garantie constitutionnelle de caractère formel, dont la violation doit entraîner l'annulation de la décision, indépendamment des chances de succès du recours sur le fond (ATF 135 I 187 consid. 2.2).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ATF 142 II 218 consid. 2.8.1 p. 226; ATF 137 I 195 consid. 2.3.2 p. 197 s.; ATF 135 I 279 consid. 2.6.1 p. 285; TF 1B_165/2017 consid. 4.1; TF 1B_244/2013 du 6 août 2013 consid. 2.2; TF 1B_191/2013 du 12 juin 2013 consid. 2.2). Une telle situation présuppose cependant tout d'abord que l'autorité de recours examine l'éventuelle violation alléguée et, le cas échéant, la constate (ATF 137 I 195 consid.</w:t>
      </w:r>
    </w:p>
    <w:p>
      <w:r>
        <w:t>- 10 - 2.3.2; TF 1B_165/2017 du 19 mai 2017 consid. 4.1; TF 1B_524/2012 du 15 novembre 2012 consid. 2.1).</w:t>
      </w:r>
    </w:p>
    <w:p>
      <w:r>
        <w:rPr>
          <w:b/>
        </w:rPr>
        <w:t>E. 4.3</w:t>
      </w:r>
    </w:p>
    <w:p>
      <w:r>
        <w:t>En l’espèce, il est exact que la Procureure n’a pas formellement répondu aux réquisitions dont elle était saisie. Elle les a toutefois implicitement rejetées par la motivation même de l’ordonnance de classement, fondée sur les éléments déjà au dossier. Or, parmi ceux-ci, figurent déjà des extraits du dossier genevois relatif au même complexe de faits, en particulier plusieurs auditions (cf. P. 22/2 et 22/3). Cela étant, même si l’existence d’une violation du droit d’être entendu devait être admise dans son principe, il n’en reste pas moins que la jurisprudence fédérale résumée ci-dessus admet la réparation d’une telle violation dans le cadre de la procédure de recours puisque l'autorité en la matière dispose d'une pleine cognition en fait et en droit. Tel est bien le cas en l’espèce. En effet, dans la présente procédure de recours, le plaignant a exposé longuement pourquoi il tenait à ses réquisitions. Statuant sur la base des éléments déjà au dossier, au bénéfice d'une pleine cognition en fait et en droit, la Cour de céans considère qu’elles sont superflues. En effet, il s’agit, dans la présente affaire, uniquement de savoir si des éléments à charge suffisants existent contre le prévenu E.________ pour que la procédure se poursuive contre lui, et non contre [...], qui est prévenu dans la procédure genevoise uniquement. En outre, ce dernier a été entendu à deux reprises par le Ministère public genevois, en confrontation avec d’autres plaignants, de sorte que l’instruction apparaît complète à cet égard. On ne voit donc pas ce que pourrait apporter une nouvelle audition de l’intéressé, par l’autorité vaudoise cette fois. Pour le surplus, il y a lieu de renvoyer aux éléments déterminants pour le sort de l’action pénale déjà mentionnés. Ce qui précède suffit à rejeter le moyen déduit d’une violation du droit d’être entendu.</w:t>
      </w:r>
    </w:p>
    <w:p>
      <w:r>
        <w:t>- 11 -</w:t>
      </w:r>
    </w:p>
    <w:p>
      <w:r>
        <w:rPr>
          <w:b/>
        </w:rPr>
        <w:t>E. 5</w:t>
      </w:r>
    </w:p>
    <w:p>
      <w:r>
        <w:t>En définitive, le recours, manifestement mal fondé, doit être rejeté, sans autre échange d’écritures (art. 390 al. 2 CPP), et l’ordonnance du 21 février 2017 confirmée. Les frais de la procédure de recours, constitués en l’espèce du seul émolument d’arrêt (art. 422 al. 1 CPP), par 1’100 fr. (art. 20 al. 1 TFIP [tarif des frais de procédure et indemnités en matière pénal; RSV 312.03.1]), seront mis à la charge du recourant, qui succombe (art. 428 al. 1 CPP). Vu l’issue du recours, il n’y a pas lieu à allouer au recourant une indemnité fondée sur l’art. 433 CPP, s’agissant tant de la procédure devant le Ministère public que de la présente procédure de recours. Par ces motifs, la Chambre des recours pénale prononce : I. Le recours est rejeté. II. L'ordonnance du 21 février 2017 est confirmée. III. Les frais de la procédure de recours, par 1'100 fr. (mille cent francs), sont mis à la charge du recourant. VI. L’arrêt est exécutoire. Le président : Le greffier : Du Le présent arrêt, dont la rédaction a été approuvée à huis clos, est notifié, par l'envoi d'une copie complète, à : - Me Gustavo Da Silva, avocat (pour W.________), - Me David Parisod, avocat (pour E.________), - Ministère public central,</w:t>
      </w:r>
    </w:p>
    <w:p>
      <w:r>
        <w:t>- 12 -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