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PE16.002101 vom 9. Mai 2016</w:t>
      </w:r>
    </w:p>
    <w:p>
      <w:r>
        <w:t>VD Tribunal cantonal, 2016-05-09, FR</w:t>
      </w:r>
    </w:p>
    <w:p>
      <w:r>
        <w:rPr>
          <w:b/>
        </w:rPr>
        <w:t xml:space="preserve">Quelle: </w:t>
      </w:r>
      <w:r>
        <w:t>https://mcp.opencaselaw.ch/entscheid/vd_gerichte_PE16.002101</w:t>
      </w:r>
    </w:p>
    <w:p>
      <w:r>
        <w:t>FR: VD_GERICHTE PE16.002101 du 9 mai 2016</w:t>
      </w:r>
    </w:p>
    <w:p>
      <w:r>
        <w:t>IT: VD_GERICHTE PE16.002101 del 9 maggio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w:t>
      </w:r>
    </w:p>
    <w:p>
      <w:r>
        <w:t>- 3 - procédure pénale suisse du 19 mai 2009: RSV 312.01]: art. 80 LOJV [Loi d’organisation judiciaire du 12 décembre 1979: RSV 173.01]).</w:t>
      </w:r>
    </w:p>
    <w:p>
      <w:r>
        <w:rPr>
          <w:b/>
        </w:rPr>
        <w:t>E. 1.2</w:t>
      </w:r>
    </w:p>
    <w:p>
      <w:r>
        <w:t>Interjeté dans le délai légal, auprès de l’autorité compétente par le plaignant qui a qualité pour recourir (art. 382 al. 1 CPP), le recours est recevable.</w:t>
      </w:r>
    </w:p>
    <w:p>
      <w:r>
        <w:rPr>
          <w:b/>
        </w:rPr>
        <w:t>E. 2.1</w:t>
      </w:r>
    </w:p>
    <w:p>
      <w:r>
        <w:t>Aux termes de l'art. 310 al. 1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w:t>
      </w:r>
    </w:p>
    <w:p>
      <w:r>
        <w:rPr>
          <w:b/>
        </w:rPr>
        <w:t>E. 2.2</w:t>
      </w:r>
    </w:p>
    <w:p>
      <w:r>
        <w:t>Dans sa plainte, comme dans son recours, Q.________ estime que l'K.________ et ses collaborateurs n'ont pas fait preuve de suffisamment d'empressement et de diligence pour l'aider dans ses efforts de réinsertion. Ses critiques ont trait aux décisions prises par cet organisme, dont la voie judiciaire est celle de la procédure administrative et ne relèvent pas de la justice pénale. En effet, les faits dénoncés ne constituent aucune infraction pénale. En vertu du principe de la légalité (art. 1 CP), une poursuite pénale ne saurait être initiée si, comme en l'espèce, aucune disposition ne réprime le comportement incriminé. C'est donc à bon droit que le Ministère public n'est pas entré en matière, les</w:t>
      </w:r>
    </w:p>
    <w:p>
      <w:r>
        <w:t>- 4 - conditions de l'ouverture d'une action pénale n'étant manifestement pas réunies.</w:t>
      </w:r>
    </w:p>
    <w:p>
      <w:r>
        <w:rPr>
          <w:b/>
        </w:rPr>
        <w:t>E. 2.3</w:t>
      </w:r>
    </w:p>
    <w:p>
      <w:r>
        <w:t>La tenue de l'audience requise par le recourant ne se justifie pas en l'espèce, l'autorité de céans disposant de tous les éléments nécessaires pour statuer et Q.________ ayant pu faire valoir ses moyens par écrit. Le recourant ne dispose d'ailleurs pas d'un droit formel à la tenue d'une audience dès lors que le droit d'être entendu par la Chambre des recours pénale s'exerce par écrit (art. 397 al. 1 CPP; ATF 137 IV 186; TF 1B_182/2011 du 5 mai 2011 et réf.; CREP 12 février 2016/105 consid. 6 et réf.).</w:t>
      </w:r>
    </w:p>
    <w:p>
      <w:r>
        <w:rPr>
          <w:b/>
        </w:rPr>
        <w:t>E. 3</w:t>
      </w:r>
    </w:p>
    <w:p>
      <w:r>
        <w:t>En définitive, le recours, manifestement mal fondé, doit être rejeté sans échange d'écritures (art. 390 al. 2 CPP) et l'ordonnance du 15 février 2016 confirmée. Les frais de la procédure de recours, constitués en l'espèce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15 février 2016 est confirmée. III. Les frais de la procédure de recours, par 440 fr. (quatre cent quarante francs), sont mis à la charge du recourant.</w:t>
      </w:r>
    </w:p>
    <w:p>
      <w:r>
        <w:t>- 5 - IV. L’arrêt est exécutoire. Le président : La greffière : Du Le présent arrêt, dont la rédaction a été approuvée à huis clos, est notifié, par l'envoi d'une copie complète, à : - M.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