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PE16.002085 vom 20. September 2016</w:t>
      </w:r>
    </w:p>
    <w:p>
      <w:r>
        <w:t>VD Tribunal cantonal, 2016-09-20, FR</w:t>
      </w:r>
    </w:p>
    <w:p>
      <w:r>
        <w:rPr>
          <w:b/>
        </w:rPr>
        <w:t xml:space="preserve">Quelle: </w:t>
      </w:r>
      <w:r>
        <w:t>https://mcp.opencaselaw.ch/entscheid/vd_gerichte_PE16.002085</w:t>
      </w:r>
    </w:p>
    <w:p>
      <w:r>
        <w:t>FR: VD_GERICHTE PE16.002085 du 20 septembre 2016</w:t>
      </w:r>
    </w:p>
    <w:p>
      <w:r>
        <w:t>IT: VD_GERICHTE PE16.002085 del 20 settembre 2016</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w:t>
      </w:r>
    </w:p>
    <w:p>
      <w:r>
        <w:t>- 6 - procédure pénale suisse, RSV 312.01] ; art. 80 LOJV [loi d’organisation judiciaire, RSV 173.01]).</w:t>
      </w:r>
    </w:p>
    <w:p>
      <w:r>
        <w:rPr>
          <w:b/>
        </w:rPr>
        <w:t>E. 1.2</w:t>
      </w:r>
    </w:p>
    <w:p>
      <w:r>
        <w:t>Interjeté dans le délai légal auprès de l’autorité compétente par la partie plaignante qui a qualité pour recourir (art. 382 al. 1 CPP), le recours est recevable.</w:t>
      </w:r>
    </w:p>
    <w:p>
      <w:r>
        <w:rPr>
          <w:b/>
        </w:rPr>
        <w:t>E. 2.1</w:t>
      </w:r>
    </w:p>
    <w:p>
      <w:r>
        <w:t>Aux termes de l'art. 310 al. 1 CPP, une ordonnance de non- entrée en matière est rendue immédiatement – c’est-à-dire sans qu’une instruction soit ouverte (art. 309 al. 1 et 4 CPP; TF 1B_111/2012 du 5 avril 2012 consid. 2.1; Cornu, in: Kuhn/Jeanneret [éd.], Commentaire romand, Code de procédure pénale suisse, Bâle 2011, n. 2 ad art. 310 CPP) – par le Ministère public lorsqu'il apparaît, à réception de la dénonciation (cf. art. 301 s. CPP) ou de la plainte (Cornu, in : Kuhn/Jeanneret [éd.],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consid. 2.1; TF 1B_67/2012 du 29 mai 2012 consid. 2.2). Parmi les empêchements définitifs de procéder, au sens de la disposition précitée, figurent les cas d'extinction de l'action publique, soit notamment la chose jugée (Cornu, in : Kuhn/Jeanneret [éd.], op. cit., n. 12 ad art. 310 CPP). En droit pénal comme en droit civil, les décisions judiciaires définitives sont en principe irrévocables et produisent un certain nombre d'effets, soit notamment celui de l'autorité de la chose jugée, qui interdit tout nouveau débat judiciaire sur la même question litigieuse, c'est-à-dire en raison des mêmes faits; dans ce cas, l'action pénale ne peut plus être engagée (Piquerez/Macaluso, Procédure pénale suisse, 3e éd., 2011, n. 580 et nn. 1573 s. ; CREP 4 novembre 2015/723 consid. 2.1 ; CREP 20 août 2014 587 consid. 2.1 ; CREP 18 juin 2013/432 ; CREP 14 mars 2013/291 consid. 2.1).</w:t>
      </w:r>
    </w:p>
    <w:p>
      <w:r>
        <w:t>- 7 - Sous le titre « interdiction de la double poursuite », qui correspond à la locution latine ne bis in idem (Hottelier, in: Kuhn/Jeanneret (éd.), op. cit., n. 1 ad art. 11 CPP), l’art. 11 al. 1 CPP dispose qu’aucune personne condamnée ou acquittée en Suisse par un jugement entré en force ne peut être poursuivie une nouvelle fois pour la même infraction. L’al. 2 de cette disposition réserve, outre la révision de la procédure (cf. art. 410 ss CPP), la reprise de la procédure close par une ordonnance de classement ou de non-entrée en matière (cf. art. 323 et 310 al. 2 CPP). Une telle reprise peut être ordonnée lorsque le ministère public a connaissance de nouveaux moyens de preuves ou de faits nouveaux qui révèlent une responsabilité pénale du prévenu et ne ressortent pas du dossier antérieur (art. 323 al. 1 CPP).</w:t>
      </w:r>
    </w:p>
    <w:p>
      <w:r>
        <w:rPr>
          <w:b/>
        </w:rPr>
        <w:t>E. 2.2</w:t>
      </w:r>
    </w:p>
    <w:p>
      <w:r>
        <w:t>En l’espèce, dans sa plainte du 16 octobre 2015, la recourante revient sur le litige survenu dans le cadre de la succession de son beau- père, s’estimant victime de manœuvres frauduleuses consistant en la dissimulation des actifs de la succession, en estimations volontairement inexactes et en fausses informations sur la valeur réelle des actifs et passifs de C.L.________ &amp; Cie SA. Les faits qu’elle y expose sont les mêmes que ceux qu’elle avait dénoncés dans ses précédentes plaintes qui ont toutes donné lieu à des ordonnances de refus de suivre ou à des ordonnances de non-entrée matière. La plainte du 16 octobre 2016 vise par ailleurs des personnes contre lesquelles la recourante avait déjà déposé plainte auparavant. Enfin, l’intéressée ne fait pas état de moyens de preuve ou de faits qui devraient être considérés comme nouveaux au regard de ses précédentes plaintes pénales et qui seraient de nature à révéler des soupçons de culpabilité contre les personnes dénoncées. Le principe de la chose jugée faisant obstacle à l’ouverture d’une instruction pénale pour des faits identiques, c’est à bon droit que le Ministère public a rendu une ordonnance de non-entrée en application de l’art. 310 al. 1 let. b CPP.</w:t>
      </w:r>
    </w:p>
    <w:p>
      <w:r>
        <w:t>- 8 - Cela étant, un élément nouveau pourrait consister en la prétendue utilisation par B.L.________ du dividende de la société T.________ Holding SA revenant à la recourante au 31 décembre 2014 (P. 4, pp. 6-7). Or, ainsi que l’a relevé la procureure, il n’y a pas eu d’utilisation indue du dividende, T.________ Holding SA n’ayant fait qu’exécuter une décision de saisie de l’Office des poursuites du district de Lavaux Oron (P. 5/20 : procès-verbal de l’assemblée générale des actionnaires de T.________ Holding SA du 24 juillet 2015, p. 3). Dans ces circonstances, toute infraction peut être d’emblée exclue avec certitude (art. 310 al. 1 let. a CPP).</w:t>
      </w:r>
    </w:p>
    <w:p>
      <w:r>
        <w:rPr>
          <w:b/>
        </w:rPr>
        <w:t>E. 3</w:t>
      </w:r>
    </w:p>
    <w:p>
      <w:r>
        <w:t>En définitive, le recours, manifestement mal fondé, doit être rejeté sans autres échanges d’écritures (art. 390 al. 2 CPP) et l’ordonnance de non-entrée en matière du 12 août 2016 confirmée. Les frais de la procédure de recours, constitués en l’espèce du seul émolument d'arrêt (art. 422 al. 1 CPP), par 880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12 août 2016 est confirmée. III. Les frais d’arrêt, par 880 fr. (huit cent huitante francs), sont mis à la charge de F.________. IV. L’arrêt est exécutoire. Le président : Le greffier :</w:t>
      </w:r>
    </w:p>
    <w:p>
      <w:r>
        <w:t>- 9 - Du Le présent arrêt, dont la rédaction a été approuvée à huis clos, est notifié, par l'envoi d'une copie complète, à : - Mme F.________, - Ministère public central, et communiqué à : - Mme la Procureure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