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PE16.001885 vom 27. April 2016</w:t>
      </w:r>
    </w:p>
    <w:p>
      <w:r>
        <w:t>VD Tribunal cantonal, 2016-04-27, FR</w:t>
      </w:r>
    </w:p>
    <w:p>
      <w:r>
        <w:rPr>
          <w:b/>
        </w:rPr>
        <w:t xml:space="preserve">Quelle: </w:t>
      </w:r>
      <w:r>
        <w:t>https://mcp.opencaselaw.ch/entscheid/vd_gerichte_PE16.001885</w:t>
      </w:r>
    </w:p>
    <w:p>
      <w:r>
        <w:t>FR: VD_GERICHTE PE16.001885 du 27 avril 2016</w:t>
      </w:r>
    </w:p>
    <w:p>
      <w:r>
        <w:t>IT: VD_GERICHTE PE16.001885 del 27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direction de la procédure de l’autorité de recours peut astreindre la partie plaignante à fournir des sûretés dans un délai déterminé pour couvrir les frais et indemnités éventuels (art. 383 al. 1 CPP [Code de procédure pénale suisse du 5 octobre 2007; RS 312.0]). Si les 351</w:t>
      </w:r>
    </w:p>
    <w:p>
      <w:r>
        <w:t>- 2 - sûretés ne sont pas fournies dans le délai imparti, l’autorité de recours n’entre pas en matière sur le recours (art. 383 al. 2 CPP). Les sûretés sont réputées fournies dans le délai lorsqu’elles sont remises à l’autorité de recours, versées en sa faveur à la poste suisse, ou encore débitées d’un compte bancaire ou postal suisse le dernier jour du délai au plus tard (Richard Calame, in: Kuhn/Jeanneret [éd.], Code de procédure pénale suisse, Commentaire romand, Bâle 2011, n. 6 ad art. 383 CPP; cf. art. 143 al. 3 CPC [Code de procédure civile du 19 décembre 2008; RS 272.0]).</w:t>
      </w:r>
    </w:p>
    <w:p>
      <w:r>
        <w:rPr>
          <w:b/>
        </w:rPr>
        <w:t>E. 2</w:t>
      </w:r>
    </w:p>
    <w:p>
      <w:r>
        <w:t>Par acte du 15 mars 2016, N.________ a interjeté recours contre l'ordonnance de non-entrée en matière rendue le 24 février 2016 par le Ministère public de l'arrondissement de Lausanne. Par avis du 18 mars 2016, adressé par pli recommandé du même jour à N.________, la Chambre des recours pénale lui a imparti un délai au 7 avril 2016 pour effectuer un dépôt de 550 fr. à titre de sûretés, avec l'indication qu’à défaut de paiement en temps utile, il ne serait pas entré en matière sur son recours. Le recourant n'a pas procédé à l'avance de frais requise dans le délai imparti. Il n’a pas non plus demandé de prolongation ou de restitution du délai. Le recours est dès lors irrecevable (art. 383 al. 2 CPP ; CREP 21 mai 2015/337).</w:t>
      </w:r>
    </w:p>
    <w:p>
      <w:r>
        <w:rPr>
          <w:b/>
        </w:rPr>
        <w:t>E. 3</w:t>
      </w:r>
    </w:p>
    <w:p>
      <w:r>
        <w:t>Les frais de la procédure de recours, constitués en l'espèce du seul émolument d'arrêt, par 330 fr. (art. 422 al. 1 CPP et 20 al. 1 TFIP [Tarif des frais de procédure et indemnités en matière pénale du 28 septembre 2010; RSV 312.03.1]), seront laissés à la charge de l’Etat (art. 423 al. 1 CPP).</w:t>
      </w:r>
    </w:p>
    <w:p>
      <w:r>
        <w:t>- 3 - Par ces motifs, la Chambre des recours pénale prononce : I. Le recours est irrecevable. II. Les frais de la procédure de recours, par 330 fr. (trois cent trente francs), sont laissés à la charge de l’Etat. III. Le présent arrêt est exécutoire. Le président : La greffière : Du Le présent arrêt, dont la rédaction a été approuvée à huis clos, est notifié, par l'envoi d'une copie complète, à : - M. N.________, - Ministère public central ; et communiqué à : - M. le Procureur de l’arrondissement de Lausanne, par l’envoi de photocopies.</w:t>
      </w:r>
    </w:p>
    <w:p>
      <w:r>
        <w:t>- 4 -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