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PE16.001487 vom 15. Oktober 2020</w:t>
      </w:r>
    </w:p>
    <w:p>
      <w:r>
        <w:t>VD Tribunal cantonal, 2020-10-15, FR</w:t>
      </w:r>
    </w:p>
    <w:p>
      <w:r>
        <w:rPr>
          <w:b/>
        </w:rPr>
        <w:t xml:space="preserve">Quelle: </w:t>
      </w:r>
      <w:r>
        <w:t>https://mcp.opencaselaw.ch/entscheid/vd_gerichte_PE16.001487</w:t>
      </w:r>
    </w:p>
    <w:p>
      <w:r>
        <w:t>FR: VD_GERICHTE PE16.001487 du 15 octobre 2020</w:t>
      </w:r>
    </w:p>
    <w:p>
      <w:r>
        <w:t>IT: VD_GERICHTE PE16.001487 del 15 ottobre 2020</w:t>
      </w:r>
    </w:p>
    <w:p>
      <w:pPr>
        <w:pStyle w:val="Heading2"/>
      </w:pPr>
      <w:r>
        <w:t>Erwägungen</w:t>
      </w:r>
    </w:p>
    <w:p>
      <w:r>
        <w:rPr>
          <w:b/>
        </w:rPr>
        <w:t>E. 3.1</w:t>
      </w:r>
    </w:p>
    <w:p>
      <w:r>
        <w:t>Selon l’art. 320 al. 2 CPP, le Ministère public lève dans l’ordonnance de classement les mesures de contrainte en vigueur; il peut ordonner la confiscation d’objets et de valeurs patrimoniales. Pour ce qui est du maintien au dossier des pièces séquestrées, il doit d’abord être relevé que la mention, figurant au dispositif de l’ordonnance, selon laquelle ce maintien est prononcé « à titre de pièces à conviction » ne trouve pas appui dans la systématique légale. En effet, cette formulation laisse entendre que le recourant resterait prévenu nonobstant sa libération, étant ajouté qu’il n’y a pas d’autre prévenu, ou tiers, contre lequel l’enquête se poursuivrait, respectivement serait susceptible d’être étendue.</w:t>
      </w:r>
    </w:p>
    <w:p>
      <w:r>
        <w:rPr>
          <w:b/>
        </w:rPr>
        <w:t>E. 3.2</w:t>
      </w:r>
    </w:p>
    <w:p>
      <w:r>
        <w:t>Cela étant, le recourant fait valoir que le maintien au dossier de ces pièces constitue une violation de l’art. 320 al. 2 CPP.</w:t>
      </w:r>
    </w:p>
    <w:p>
      <w:r>
        <w:t>- 16 - Il ressort des pièces séquestrées les éléments suivants : - le dossier radiologique antérieur aux interventions du prévenu et le CD relatif au suivi effectué par le Dr [...] postérieurement à l’opération pratiquée par ce dernier, versés sous fiche n° 1'166, sont en réalité des documents faisant partie du dossier de la patiente; d’ailleurs, la fiche de pièce à conviction établie le 18 avril 2019 (P. 47) révèle expressément que ce dossier et le CD ont été produits par la plaignante elle-même; le recourant est dès lors malvenu d’en demander restitution et n’a du reste pas qualité pour le faire, faute d’avoir produit les pièces en question; - le recourant conclut en outre à la « restitution du disque dur comportant le résultat de la perquisition effectuée le 23 août 2016 à son cabinet de Q.________, versé sous fiche n° 1'195 ». Le résultat de cette perquisition fait l’objet de trois pièces, numérotées de 13 à 15. L’inventaire sous P. 14 mentionne, sous chiffre 6, un « disque dur avec câble d’alimentation et fiche USB » La qualification (ch. 9) apposée au regard de cette mention renvoie à « DCI/Girardello », par opposition à un séquestre, qui, pour sa part, aurait été répertorié sous chiffre 3, selon la typologie figurant sur le formulaire ad hoc. Le libellé de ces conclusions n’échappe pas à une certaine imprécision. En effet, il y a lieu de distinguer le matériel informatique des données numériques. Un transfert de données a été effectué lors de la perquisition. En effet, la P. 13 mentionne qu’ « [u]ne copie de ces données a été effectuées par la DCI » et que « [l]a perquisition des locaux n’a pas amené d’autres éléments ». L’inventaire (P. 14) se réfère en outre, sous chiffre 9, à une « [s]aisie de données informatiques (copies) », tout en mentionnant, sous chiffre 6, un « disque-dur avec câble d’alimentation et fiche USB ». La fiche de pièce à conviction établie le 13 juin 2019 en relation avec la perquisition du 23 août 2016 (P. 50, précitée) porte sur un</w:t>
      </w:r>
    </w:p>
    <w:p>
      <w:r>
        <w:t>- 17 - disque dur, expressément désigné comme étant le « résultat de la perquisition »; le câble est passé sous silence. Les données numériques constituent le résultat de la perquisition et n’ont pas fait l’objet d’une mesure de contrainte, soit d’un séquestre; bien plutôt, il s’agit seulement de pièces à conviction, qui font donc partie du dossier pénal tout comme si leur contenu avait figuré sur support analogique. Ces données doivent ainsi rester au dossier (le cas échéant sous la forme de la clé USB mentionnée par la P. 14 ou sur tout autre support) pour être archivées à l’issue de la procédure, à l’instar du dossier « physique », soit analogique; le prévenu ne saurait donc en réclamer restitution. Certes, ces données comportent des éléments relevant assurément du secret professionnel du médecin, qu’ils concernent la plaignante seulement ou, le cas échéant, d’autres patients également; la Cour relèvera toutefois que les membres des autorités pénales et leurs collaborateurs, notamment, gardent le silence sur les faits qui parviennent à leur connaissance dans l’exercice de leur activité officielle (art. 73 al. 1 CPP). Pour ce qui est du matériel informatique, soit du disque dur (et de son câble), il n’y aurait aucun sens à ce que l’autorité pénale conserve indéfiniment ces objets après le terme de la procédure. Il y a donc lieu de présumer que ce matériel a été laissé sur place à l’issue de la perquisition, respectivement qu’il a été restitué à bref délai à son propriétaire, pour que le prévenu puisse conserver la maîtrise des fichiers nécessaires à l’exercice de son activité professionnelle. Le recourant n’a dès lors pas, sinon pour une brève durée, été atteint ni dans la possession, ni dans la jouissance de son matériel informatique. Du reste, il y a lieu de considérer qu’il se serait plaint auparavant auprès de la direction de la procédure s’il avait été durablement privé de l’usage d’un outil professionnel aussi essentiel. Au surplus, la perquisition a aussi porté sur des supports « papier », qui ne font toutefois pas l’objet des conclusions du recours.</w:t>
      </w:r>
    </w:p>
    <w:p>
      <w:r>
        <w:t>- 18 - Ces conclusions du recours doivent donc également être rejetées.</w:t>
      </w:r>
    </w:p>
    <w:p>
      <w:r>
        <w:rPr>
          <w:b/>
        </w:rPr>
        <w:t>E. 4</w:t>
      </w:r>
    </w:p>
    <w:p>
      <w:r>
        <w:t>Il résulte de ce qui précède que le recours, manifestement mal fondé, doit être rejeté sans échange d’écritures (art. 390 al. 2 CPP) et l’ordonnance attaquée confirmée. Les frais de la procédure de recours, constitués du seul émolument d’arrêt, par 1'760 fr. (art. 20 al. 1 TFIP [Tarif des frais judiciaires de procédure et indemnités en matière pénale du 28 septembre 2010; BLV 312.03.1]), seront mis à la charge du recourant, qui succombe (art. 428 al. 1 CPP). Par ces motifs, la Chambre des recours pénale prononce : I. Le recours est rejeté. II. L’ordonnance du 30 juin 2020 est confirmée. III. Les frais d’arrêt, par 1'760 fr. (mille sept cent soixante francs), sont mis à la charge de Q.________. IV. L’arrêt est exécutoire. Le président : Le greffier : Du Le présent arrêt, dont la rédaction a été approuvée à huis clos, est notifié, par l'envoi d'une copie complète, à : - Me Alain Thévenaz, avocat, pour Q.________,</w:t>
      </w:r>
    </w:p>
    <w:p>
      <w:r>
        <w:t>- 19 -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