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PE16.000979 vom 7. Juni 2016</w:t>
      </w:r>
    </w:p>
    <w:p>
      <w:r>
        <w:t>VD Tribunal cantonal, 2016-06-07, FR</w:t>
      </w:r>
    </w:p>
    <w:p>
      <w:r>
        <w:rPr>
          <w:b/>
        </w:rPr>
        <w:t xml:space="preserve">Quelle: </w:t>
      </w:r>
      <w:r>
        <w:t>https://mcp.opencaselaw.ch/entscheid/vd_gerichte_PE16.000979</w:t>
      </w:r>
    </w:p>
    <w:p>
      <w:r>
        <w:t>FR: VD_GERICHTE PE16.000979 du 7 juin 2016</w:t>
      </w:r>
    </w:p>
    <w:p>
      <w:r>
        <w:t>IT: VD_GERICHTE PE16.000979 del 7 giugno 2016</w:t>
      </w:r>
    </w:p>
    <w:p>
      <w:pPr>
        <w:pStyle w:val="Heading2"/>
      </w:pPr>
      <w:r>
        <w:t>Erwägungen</w:t>
      </w:r>
    </w:p>
    <w:p>
      <w:r>
        <w:rPr>
          <w:b/>
        </w:rPr>
        <w:t>E. 38</w:t>
      </w:r>
    </w:p>
    <w:p>
      <w:r>
        <w:t>consid. 2a ; cf. aussi, quant à la notion d’arbitraire, ATF 136 III 552 consid. 4.2). 2.3 Confronté à deux versions contradictoires, le tribunal de première instance a fondé sa décision sur les éléments ressortant du rapport de police du 25 octobre 2015 ainsi que sur les déclarations d’un témoin ayant notamment aperçu à quel endroit les véhicules de L.________ et A.________ s’étaient immobilisés à la suite de l’accident. 2.3.1 L’appelante considère en premier lieu que A.________ a changé plusieurs fois sa version des faits concernant la distance qu’il observait, au guidon de son motocycle, par rapport au côté droit de la chaussée. Il a ainsi signalé aux gendarmes qu’il circulait, au moment des faits, « au milieu de la voie » (rapport de police du 25 octobre 2015, p. 4). Par la suite, il a indiqué avoir tenu sa droite « avec rigueur » (opposition de A.________ du 17 novembre 2015), puis avoir roulé « normalement à droite » (PV aud. du 21 décembre 2015). Enfin, lors de l’audience du 7 juin 2016, A.________ a indiqué qu’il avait tenu sa droite « avec rigueur », tout en précisant qu’il occupait sa voie « avec une moto de 500 kg, et un passager » et observait ainsi une « marge de sécurité » (jgt, p. 5). Loin de manquer de cohérence, A.________ a constamment décrit une position sur le côté droit de la chaussée, tout en faisant état d’une distance de sécurité qu’il a estimée large d’un mètre et demi par rapport au bord de la route. Il n’était ainsi pas arbitraire, comme l’a fait le premier juge, de retenir que A.________ circulait « à environ 1m50 du bord droit de la voie » (jgt, p. 11).</w:t>
      </w:r>
    </w:p>
    <w:p>
      <w:r>
        <w:t>- 10 - 2.3.2 La version des faits présentée par L.________ n’a certes pas varié au cours de l’instruction, mais se trouve en revanche contredite par certains éléments du dossier. Ainsi, l’appelante a indiqué avoir dépassé le motocycle de A.________ alors qu’elle se trouvait déjà à la hauteur des flèches marquant les présélections (PV aud. de l’appelante du 8 janvier 2016). Le témoin D.________, qui se trouvait dans le parc Nord du Collège du Lac au moment des faits, a toutefois déclaré que les véhicules s’étaient immobilisés après l’accident « bien avant la présélection qui mène sur la rue du Collège, là où la route cantonale n’a qu’une seule voie » (rapport de police du 25 octobre 2015, p. 4). Entendu lors de l’audience du 7 juin 2016, D.________ a confirmé ses précédentes déclarations (jgt, p. 7). Le tribunal s’est par ailleurs appuyé sur le rapport de police pour retenir que le rétroviseur de l’appelante s’était bien, consécutivement au choc, rabattu vers l’intérieur, ce qui suggère davantage que son véhicule a percuté un objet par l’arrière que l’inverse. En conséquence, si le rapport de police se montre peut-être trop catégorique en affirmant que cet élément « démontre clairement » que le véhicule de L.________ a heurté celui du motocycle (rapport de police du 25 octobre 2015, p. 4), il conserve néanmoins sa valeur probante s’agissant de l’état des rétroviseurs touchés et indique que le choc est survenu par l'avant et non l'arrière de l'automobile. Quant à la marque observée par la police sur la portière avant droite du véhicule de l’appelante, outre que celle-ci n’a pas été identifiée comme une conséquence de l’accident, elle ne s’avère aucunement incompatible avec l’état de fait retenu par le premier juge et ne peut venir ni à charge, ni à décharge de L.________. Le tribunal de première instance a enfin retenu que, au lieu de l’accident, la chaussée était large de 4.5 à 5.65 mètres. Cet élément</w:t>
      </w:r>
    </w:p>
    <w:p>
      <w:r>
        <w:t>- 11 - ressort du rapport de police, qui précise encore que le choc entre les véhicules a dû survenir à un endroit où la route est large de 5.4 mètres. 2.3.3 En définitive, c’est non en faisant preuve d’arbitraire, mais sur la base des éléments ressortant du dossier de la cause que le premier juge a retenu que l’appelante a effectué sa manœuvre de dépassement, une centaine de mètres avant l’intersection soit à un endroit où la chaussée n’est pas encore partagée en deux voies. Son véhicule est venu percuter le motocycle de A.________, qui circulait sur le côté droit de la route. Il ressort en effet du dossier que c’est bien la manœuvre de dépassement qui est à l’origine de l’accident, tandis que rien n’indique que le motocycle de A.________, qui suivait la route, ait pu brusquement dévier de sa trajectoire. Il convient d’ailleurs de relever que l’appelante a déclaré à propos de sa manœuvre de dépassement : « J’ai une grande voiture. La file de voiture de droite a ralenti à cause du feu qui était au rouge, la moto qui les suivait a aussi fortement ralenti et se trouvait sur le côté gauche de sa voie. C’est à ce moment que j’ai décidé de les dépasser par la gauche, car je tournais à gauche et j’étais sur la flèche de présélection » (PV aud. de l’appelante du 8 janvier 2016). L’appelante avait donc, avant son dépassement, clairement identifié le motocycle de A.________. Si elle considérait que celui-ci circulait sur le côté gauche de sa voie, L.________ devait faire preuve d’une grande prudence en envisageant un dépassement, à plus forte raison dans la mesure où la route ne comprenait encore qu’une seule voie et que la Chrysler Voyager comme la BMW K1200LT sont des véhicules plutôt larges. Sur le vu de ce qui précède, l’appelante a effectué sa manœuvre de dépassement sans observer une distance suffisante avec les autres usagers de la route, en particulier avec le véhicule de A.________, contrevenant ainsi aux art. 34 al. 4 et 35 al. 3 LCR. L’appel doit donc être rejeté sur ce point et la condamnation confirmée.</w:t>
      </w:r>
    </w:p>
    <w:p>
      <w:r>
        <w:t>- 12 - 3. L’appelante, qui a conclu à son acquittement, ne conteste pas formellement la quotité de l’amende. Examinée d’office, celle-ci ne prête pas le flanc à la critique et l’amende de 200 fr. – la peine privative de liberté de substitution étant de deux jours – prononcée en première instance doit être confirmée. 4. L’appelante estime par ailleurs que le tribunal de première instance aurait dû préciser, dans son dispositif, que le remboursement des indemnités fixées en faveur de ses conseils d’office successifs ne pourrait être exigé que si sa situation financière le permettait. Aux termes de l’art. 135 al. 4 CPP, lorsque le prévenu est condamné à supporter les frais de procédure, il est tenu de rembourser dès que sa situation financière le permet (a) à la Confédération ou au canton les frais d'honoraires et (b) au défenseur la différence entre son indemnité en tant que défenseur désigné et les honoraires qu'il aurait touchés comme défenseur privé. La situation financière du prévenu constituant une condition à l’obligation de remboursement au sens de cette disposition, c’est l’ensemble des indemnités allouées aux trois défenseurs d’office successifs de l’appelante qui devait y être subordonnée, et non uniquement celle arrêtée en faveur de Me Benjamin Schwab. Il découle de ce qui précède que le recours doit être admis sur ce point. L’appelante ne sera tenue de rembourser les indemnités dues à Me Benjamin Schwab, fixée à 2'217 fr. 55, TVA et débours compris, à Me Laurent Kohli, fixée à 1'877 fr. 60, TVA incluse et à Me Habib Tabet, fixée à 1'677 fr. 25, TVA incluse, que lorsque sa situation financière le permettra. 5. En définitive, l’appel de L.________ doit être très partiellement admis. Une indemnité doit être allouée à Me Benjamin Schwab, défenseur d’office de L.________. S’agissant de la durée d’activité utile, il</w:t>
      </w:r>
    </w:p>
    <w:p>
      <w:r>
        <w:t>- 13 - conviendra de retrancher de la liste d’opérations produite (P. 29/1) 35 minutes comptées pour des lettres de compliment, relevant du travail de secrétariat. Concernant les débours réclamés, il conviendra par ailleurs d’en retrancher les montants relatifs aux conversations téléphoniques, qui relèvent des frais généraux de l’avocat et dont la durée est déjà comptabilisée. Enfin, la somme de 48 fr. réclamée pour 160 photocopies doit être réduite à 32 fr., ce qui correspond à un prix de 20 centimes par copie. En définitive, l’indemnité due à Me Benjamin Schwab doit être arrêtée sur la base d’une durée d’activité d’avocat de 9 heures et 15 minutes, ce qui correspond à un montant de 1'665 fr. auquel il faut ajouter 56 fr. 30 pour les débours, ce qui porte la somme à 1'721 fr. 30, plus la TVA, soit un montant total de 1'859 francs. Vu l'issue de la cause, les frais d’appel, par 2'939 fr., constitués de l’émolument de jugement, par 1’080 fr. (art. 21 al. 1 TFIP [tarif des frais de procédure et indemnités en matière pénale du 28 septembre 2010 ; RSV 312.03.1]), et de l’indemnité allouée au défenseur d’office de l’appelante, arrêtée à 1859 fr., TVA et débours inclus, seront mis par quatre-cinquième, soit 2'351 fr. 20, à la charge de l’appelante, le solde étant laissé à la charge de l'Etat. L’appelante ne sera tenue de rembourser l’indemnité de son défenseur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