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PE16.000751 vom 23. November 2020</w:t>
      </w:r>
    </w:p>
    <w:p>
      <w:r>
        <w:t>VD Tribunal cantonal, 2020-11-23, FR</w:t>
      </w:r>
    </w:p>
    <w:p>
      <w:r>
        <w:rPr>
          <w:b/>
        </w:rPr>
        <w:t xml:space="preserve">Quelle: </w:t>
      </w:r>
      <w:r>
        <w:t>https://mcp.opencaselaw.ch/entscheid/vd_gerichte_PE16.000751</w:t>
      </w:r>
    </w:p>
    <w:p>
      <w:r>
        <w:t>FR: VD_GERICHTE PE16.000751 du 23 novembre 2020</w:t>
      </w:r>
    </w:p>
    <w:p>
      <w:r>
        <w:t>IT: VD_GERICHTE PE16.000751 del 23 novembre 2020</w:t>
      </w:r>
    </w:p>
    <w:p>
      <w:pPr>
        <w:pStyle w:val="Heading2"/>
      </w:pPr>
      <w:r>
        <w:t>Erwägungen</w:t>
      </w:r>
    </w:p>
    <w:p>
      <w:r>
        <w:rPr>
          <w:b/>
        </w:rPr>
        <w:t>E. 1</w:t>
      </w:r>
    </w:p>
    <w:p>
      <w:r>
        <w:t>Les parties peuvent attaquer une ordonnance de classement rendue par le Ministère public (art. 319 ss CPP [Code de procédure pénale suisse du 5 octobre 2007 ; RS 312.0]) devant l’autorité de recours qui, dans le canton de Vaud, est la Chambre des recours pénale du Tribunal cantonal (art. 322 al. 2 cum art. 20 al. 1 let. b CPP, art. 13 LVCPP [loi d’introduction du Code de procédure pénale suisse du 19 mai 2009 ; BLV 312.01] et art. 80 LOJV [loi d’organisation judiciaire du 12 décembre 1979 ; BLV 173.01]), dans les dix jours (art. 396 al. 1 CPP). Interjeté en temps utile et dans les formes prescrites (cf. art. 385 al. 1 CPP), par la partie plaignante ayant qualité pour recourir (art. 382 al. 1 CPP), le recours est recevable.</w:t>
      </w:r>
    </w:p>
    <w:p>
      <w:r>
        <w:rPr>
          <w:b/>
        </w:rPr>
        <w:t>E. 2.1</w:t>
      </w:r>
    </w:p>
    <w:p>
      <w:r>
        <w:t>La recourante ne conteste pas le classement en tant qu’il concerne les cas 1, 2 et 3 de l’ordonnance du 8 avril 2020 (cf. let. c.1, c.3 et c.4 supra) reposant sur le fait qu’aucune preuve ne permet de privilégier l’une ou l’autre des versions des parties. En revanche elle conteste le classement en tant qu’il concerne le viol (cas 4 [cf. let. c.6 supra]). Elle invoque la violation de l’art. 319 al. 1 let. a et b CPP et du principe « in dubio pro duriore ». Elle fait valoir que les rapports médicaux qu’elle a produits en cours d’instruction, les faits pour lesquels le prévenu a été condamné par ordonnance pénale du 16 avril 2020 et les multiples hospitalisations de ce dernier permettent de comprendre le contexte dans lequel elle vivait pendant la période litigieuse et démontrent la crédibilité de ses déclarations en relation avec les abus sexuels subis. Avec le Ministère public, l’intimé R.________ soutient que le classement se justifie. Dans ses déterminations, celui-ci fait valoir que ni les constatations d’ordre médical concernant la plaignante, ni les décompensations psychiques dont il a souffert ne permettent de retenir</w:t>
      </w:r>
    </w:p>
    <w:p>
      <w:r>
        <w:t>- 10 - qu’il aurait usé d’un moyen de contrainte pour commettre des actes sexuels sur son épouse et que cette dernière n’a aucunement fait preuve de résistance lors de leurs rapports sexuels ni donné des signes évidents et déchiffrables de son opposition, de sorte qu’il est impossible de retenir qu’il aurait, avec conscience et volonté, passé outre un refus reconnaissable de son épouse.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Cette décision doit être prise en application du principe « in dubio pro duriore », qui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réf. cit. ; TF 6B_116/2019 du 11 mars 2019 consid. 2.1). L'autorité de recours ne peut confirmer un classement au seul motif qu'une condamnation n'apparaît pas plus probable qu'un acquittement (TF 6B_874/2017 du 18 avril 2018 consid. 5.1 et réf. cit.).</w:t>
      </w:r>
    </w:p>
    <w:p>
      <w:r>
        <w:t>- 11 -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rPr>
          <w:b/>
        </w:rPr>
        <w:t>E. 2.2.2</w:t>
      </w:r>
    </w:p>
    <w:p>
      <w:r>
        <w:t>Aux termes de l'art. 190 al. 1 CP, celui-ci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consid. 2.2.1 et les arrêts cités).</w:t>
      </w:r>
    </w:p>
    <w:p>
      <w:r>
        <w:t>- 12 - En introduisant la notion de « pressions psychiques », le législateur a voulu viser les cas où la victime se trouve dans une situation sans espoir, sans pour autant que l'auteur ait recouru à la force physique ou à la violence (TF 6B_116/2019 précité consid. 2.2.1 et les arrêts cités). Les pressions d’ordre psychique visent aussi les cas où l’auteur provoque chez la victime des effets d’ordre psychique, tels que la surprise, la frayeur ou le sentiment d’une situation sans espoir, propres à la faire céder (ATF 128 IV 106 consid. 3a/bb ; ATF 126 IV 124 consid. 3 ; ATF 122 IV 97 consid. 2b). En cas de pressions d'ordre psychique, il n'est toutefois pas nécessaire que la victime ait été mise hors d'état de résister (ATF 124 IV 154 consid. 3b ; TF 6B_593/2007 du 11 décembre 2007 consid. 3.1). Ainsi, une situation d'infériorité physique ou de dépendance sociale et émotionnelle peut suffire (ATF 126 IV 124 consid. 3b ; ATF 124 IV 154 consid. 3b et c ; TF 6B_116/2019 précité). De même, un climat de psycho- terreur entre époux peut, même sans violence, exercer une influence telle sur la volonté que la victime estime, de manière compréhensible, qu'elle n'a pas de possibilité réelle de résister (ATF 126 IV 124 consid. 3b et c ; TF 6B_593/2007 précité).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3e éd., Berne 2010, n. 11 ad art. 190 CP).</w:t>
      </w:r>
    </w:p>
    <w:p>
      <w:r>
        <w:rPr>
          <w:b/>
        </w:rPr>
        <w:t>E. 2.3</w:t>
      </w:r>
    </w:p>
    <w:p>
      <w:r>
        <w:t>En l’espèce, comme l’a relevé à juste titre la Procureure, on ne dispose d’aucun élément de preuve direct qui corrobore les accusations de la recourante, les versions des parties étant contradictoires. Toutefois, dans une affaire de ce genre, ces éléments ne sont pas déterminants si l’on dispose de certains indices concrets convergents. Or, cette condition est réalisée en l’espèce, pour les motifs qui suivent.</w:t>
      </w:r>
    </w:p>
    <w:p>
      <w:r>
        <w:t>- 13 - Tout d’abord, il paraît établi que la recourante a souffert de dépression sévère à la suite d’événements survenus au sein du couple. Cela résulte des divers rapports médicaux la concernant (P. 45, 107/1 et 107/2), dont il ressort qu’elle a fait part à ses thérapeutes de violences physiques et sexuelles, et plus expressément de rapports sexuels non consentis. Les médecins s’accordent à dire que les symptômes anxio- dépressifs présentés par la plaignante sont compatibles avec les explications de cette dernière. Les précisions apportées par la Dresse [...], qui a suivi la recourante dès le 2 septembre 2015 à une fréquence hebdomadaire, sont assez révélatrices à cet égard puisque ce spécialiste a clairement indiqué que l’état de stress post traumatique dont sa patiente souffrait était bien décrit dans la littérature notamment chez les victimes de violences conjugales ainsi que de viols (P. 45). Ensuite, il est admis que R.________ souffre d’un trouble de l’humeur (PV aud. 3, lignes 36 ss), décrit par les médecins et experts comme un trouble affectif bipolaire avec des épisodes maniaques accompagnés de symptômes psychotiques (P. 57 et 88). Les experts ont qualifié de grave le trouble dont souffre l’intéressé et ont indiqué que celui-ci pouvait, lors des phases aiguës, faire preuve d’accès de colère et de mouvements de violence (P. 88, page 18). Les multiples hospitalisations du prévenu attestent en outre de ses fréquentes décompensations psychiques au cours desquels il était agressif. Les experts ont précisé à cet égard que ses décompensations pouvaient engendrer des épisodes de colère et d’agressivité difficilement contrôlables, un épisode maniaque pouvant en outre entraîner une augmentation de l’énergie sexuelle (P. 88, page 13). Les experts ont ajouté que les épisodes de violence pouvaient survenir dans un contexte de situations de vie stressante et suite à l’arrêt du traitement médicamenteux (P. 88, page 20). Or, les déclarations du frère du prévenu telles que rapportées dans le constat médical du 20 juillet 2017 lors de son arrivée à l’hôpital de [...] (P. 57) vont également dans ce sens, puisqu’il est mentionné que l’intimé avait, dans les jours précédant son hospitalisation pour décompensation, arrêté son traitement médicamenteux. Le prévenu lui-même a expliqué les crises de 2014-2015 par le fait qu’il avait connu des moments particulièrement stressants et</w:t>
      </w:r>
    </w:p>
    <w:p>
      <w:r>
        <w:t>- 14 - qu’il lui était arrivé d’oublier de prendre ses médicaments (PV aud. 3, lignes 44 à 46). Dans ces circonstances, on ne saurait dire qu’il est une personne « calme », comme il le prétend (PV aud. 3, ligne 74). Par ailleurs, on ne peut exclure, à ce stade, que ses dénégations constantes par rapport aux reproches faits par son épouse (PV aud. 3, lignes 126 ss ; P. 88, page 8) soient à mettre en lien avec son trouble, puisque les experts ont indiqué qu’il pourrait ne pas se souvenir de ses actes en raison de la désorganisation de son état psychique. Du reste, les réponses catégoriques qu’il a données aux questions de savoir s’il lui était arrivé de se montrer violent envers son épouse (« je suis sûr que non », « je répète n’avoir jamais fait de violence », « c’est ma conviction », « je n’ai jamais fait cela », « ce n’est pas vrai » [PV aud. 3, lignes 76, 80, 85, 115, 129]) ne peuvent manquer d’étonner, alors qu’il admet lui-même ne pas se souvenir d’autres faits importants, tels que l’épisode – documenté – survenu à son arrivée au [...] en septembre 2015 (PV aud. 3, lignes 109 et 110). En outre, la Procureure a, par ordonnance pénale du 16 avril 2020, condamné le prévenu pour menaces qualifiées et contrainte, pour avoir, entre janvier 2014 et octobre 2015, eu régulièrement des comportements menaçants, voire terrifiants, à l’encontre de son épouse et l’avoir enfermée à une occasion dans l’appartement, l’empêchant de sortir (cf. let. c.2 et c.5 supra). Or, quand il s’agit de savoir si, comme la recourante le soutient, cette contrainte s’est également exercée, pendant cette même période, lors des rapports sexuels, ces éléments ne peuvent pas être ignorés. D’ailleurs, la Procureure admet que les indices réunis en cours d’instruction permettent de penser que la plaignante, à un nombre indéterminé de reprises, a souffert pendant les rapports sexuels dont elle ne voulait pas et que « son mari continuait jusqu’au bout en ignorant ses demandes d’arrêter ». Ainsi, l’argumentation de la Procureure selon laquelle la recourante n’aurait pas dit non, en tout cas pas de manière reconnaissable, ne tient pas, au vu notamment des déclarations constantes de cette dernière à cet égard, dont on ne peut pas dire qu’elles sont moins crédibles que celles du prévenu, au contraire.</w:t>
      </w:r>
    </w:p>
    <w:p>
      <w:r>
        <w:t>- 15 - Ainsi, au vu de l’ensemble des éléments qui précèdent, soit du traumatisme subi par la recourante, attesté médicalement, de l’état psychique du prévenu – qui lui a valu de nombreuses hospitalisations en raison de ses décompensations au cours desquels il s’est montré agressif – , de ses actes de menaces qualifiées et de contrainte vis-à-vis de son épouse tels que relevés par la Procureure dans l’ordonnance pénale du 16 avril 2020 – bien que celle-ci ait fait l’objet d’une opposition – et des déclarations constantes de la recourante, il n'est pas possible à ce stade de retenir qu'il n'existerait aucun soupçon justifiant une mise en accusation (art. 319 al. 1 let. a CPP) ou que les éléments constitutifs d’une infraction de viol ne seraient manifestement pas réunis (art. 319 al. 1 let. b CPP). Il apparaît bien plutôt, sur le vu de ces éléments, que le prévenu ait, par le climat de psycho-terreur qu’il a pu faire régner au sein de son couple, pu user non seulement de violence mais surtout de pressions d’ordre psychologique qui ont placé la recourante dans une situation telle qu’elle n’avait pas de possibilité réelle de résister. En raison de ce climat, dont le prévenu paraît responsable, il n’est pas possible d’écarter l’existence de l’élément subjectif, au moins par dol éventuel. Il s’impose donc que l'intimé soit mis en accusation, au regard du principe « in dubio pro duriore », s’agissant de délits graves commis « entre quatre yeux » pour lesquels une condamnation apparaît possible.</w:t>
      </w:r>
    </w:p>
    <w:p>
      <w:r>
        <w:rPr>
          <w:b/>
        </w:rPr>
        <w:t>E. 3</w:t>
      </w:r>
    </w:p>
    <w:p>
      <w:r>
        <w:t>Il appartiendra dès lors au Ministère public de dresser un acte d’accusation à l’égard de R.________ sans que d’autres mesures d’instruction particulières apparaissent nécessaires.</w:t>
      </w:r>
    </w:p>
    <w:p>
      <w:r>
        <w:rPr>
          <w:b/>
        </w:rPr>
        <w:t>E. 4</w:t>
      </w:r>
    </w:p>
    <w:p>
      <w:r>
        <w:t>Il résulte de ce qui précède que le recours doit être admis. L’ordonnance sera annulée en tant que le classement de la procédure pénale pour viol est prononcé et maintenue pour le surplus. Le dossier de la cause sera renvoyé au Ministère public de l’arrondissement de Lausanne pour qu’il procède dans le sens des considérants.</w:t>
      </w:r>
    </w:p>
    <w:p>
      <w:r>
        <w:t>- 16 - Me Loïc Parein a produit une liste d’opérations faisant état de 6h19 d’activité d’avocat (P. 111/2.4). Ce total peut être admis. C’est ainsi une indemnité de 1'137 fr. qui sera allouée, auxquels il y a lieu d’ajouter des débours forfaitaires à concurrence de 2 % (art. 3bis al. 1 RAJ [Règlement du 7 décembre 2010 sur l'assistance judiciaire en matière civile ; BLV 211.02.3], applicable par renvoi de l’art. 26b TFIP), par 25 fr., plus la TVA par 89 fr. 50, ce qui donne 1'251 fr. 50 au total, arrondis à 1'252 francs. Me Matthieu Genillod a produit une liste d’opérations faisant état de 3h21 d’activité d’avocat (P. 114/1). Ce total peut également être admis. C’est ainsi une indemnité de 603 fr. qui sera allouée, auxquels il y a lieu d’ajouter des débours forfaitaires à concurrence de 2 %, par 12 fr. 05, plus la TVA par 47 fr. 35, ce qui donne 662 fr. 40 au total, arrondis à 662 francs. Les frais de la procédure de recours, constitués en l'espèce de l’émolument d'arrêt, par 1'540 fr. (art. 20 al. 1 TFIP [Tarif des frais de procédure et indemnités en matière pénale du 28 septembre 2010 ; BLV 312.03.1]), des frais imputables à l’assistance du conseil juridique gratuit de C.________, fixés à 1'252 fr., et des frais imputables à la défense d’office de R.________, fixés à 662 fr., seront mis à la charge de l’intimé, qui succombe dès lors qu’il a conclu au rejet du recours (art. 428 al. 1 CPP). Le remboursement à l’Etat des indemnités allouées au conseil juridique gratuit de C.________ et au défenseur d’office de R.________ ne sera toutefois exigible que pour autant que la situation financière de ce dernier le permette (art. 135 al. 4, 138 al. 1 et 426 al. 4 CPP ; ATF 145 IV 90 consid. 5.2).</w:t>
      </w:r>
    </w:p>
    <w:p>
      <w:r>
        <w:t>- 17 - Par ces motifs, la Chambre des recours pénale prononce : I. Le recours est admis. II. L'ordonnance du 8 avril 2020 est annulée concernant le classement pour l'infraction de viol. L’ordonnance est maintenue pour le surplus. III. Le dossier de la cause est renvoyé au Ministère public de l’arrondissement de Lausanne pour qu’il procède dans le sens des considérants. IV. L'indemnité allouée au conseil juridique gratuit de C.________ est fixée à 1'252 fr. (mille deux cent cinquante-deux francs). V. L'indemnité allouée au défenseur d'office de R.________ est fixée à 662 fr. (six cent soixante-deux francs). VI. Les frais d’arrêt, par 1'540 fr. (mille cinq cent quarante francs), ainsi que les indemnités dues au conseil juridique gratuit de C.________, par 1'252 fr. (mille deux cent cinquante-deux francs), et au défenseur d’office de R.________, par 662 fr. (six cent soixante-deux francs), sont mis à la charge de ce dernier. VII. Le remboursement à l'Etat des indemnités allouées aux chiffres IV et V ci-dessus ne sera exigible que pour autant que la situation financière de R.________ le permette. VIII. L’arrêt est exécutoire. Le président : Le greffier : Du Le présent arrêt, dont la rédaction a été approuvée à huis clos, est notifié, par l'envoi d'une copie complète, à : - Me Loïc Parein, avocat (pour C.________), - Me Matthieu Genillod, avocat (pour R.________),</w:t>
      </w:r>
    </w:p>
    <w:p>
      <w:r>
        <w:t>- 18 -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