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PE16.000591 vom 25. März 2021</w:t>
      </w:r>
    </w:p>
    <w:p>
      <w:r>
        <w:t>VD Tribunal cantonal, 2021-03-25, FR</w:t>
      </w:r>
    </w:p>
    <w:p>
      <w:r>
        <w:rPr>
          <w:b/>
        </w:rPr>
        <w:t xml:space="preserve">Quelle: </w:t>
      </w:r>
      <w:r>
        <w:t>https://mcp.opencaselaw.ch/entscheid/vd_gerichte_PE16.000591</w:t>
      </w:r>
    </w:p>
    <w:p>
      <w:r>
        <w:t>FR: VD_GERICHTE PE16.000591 du 25 mars 2021</w:t>
      </w:r>
    </w:p>
    <w:p>
      <w:r>
        <w:t>IT: VD_GERICHTE PE16.000591 del 25 marzo 2021</w:t>
      </w:r>
    </w:p>
    <w:p>
      <w:pPr>
        <w:pStyle w:val="Heading2"/>
      </w:pPr>
      <w:r>
        <w:t>Erwägungen</w:t>
      </w:r>
    </w:p>
    <w:p>
      <w:r>
        <w:rPr>
          <w:b/>
        </w:rPr>
        <w:t>E. 3</w:t>
      </w:r>
    </w:p>
    <w:p>
      <w:r>
        <w:t>K.________ est décédé le 13 décembre 2020. Sa cause a été disjointe de celle d’O.________ lors des débats de première instance. En d roit : 1. Interjeté dans les formes et délais légaux (art. 399 CPP) par une partie ayant qualité pour recourir contre le jugement d'un tribunal de première instance qui a clos la procédure (art. 398 al. 1 CPP), l’appel d’O.________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- 16 -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w:t>
      </w:r>
    </w:p>
    <w:p>
      <w:r>
        <w:rPr>
          <w:b/>
        </w:rPr>
        <w:t>E. 3.1</w:t>
      </w:r>
    </w:p>
    <w:p>
      <w:r>
        <w:t>Les premiers juges ont estimé qu’en raison d’une sévère intoxication à l’alcool, S.________ présentait une incapacité de résistance et que l’appelant et K.________ avait exploité son état d’impuissance pour commettre sur elle des actes d’ordre sexuel à trois reprises.</w:t>
      </w:r>
    </w:p>
    <w:p>
      <w:r>
        <w:rPr>
          <w:b/>
        </w:rPr>
        <w:t>E. 3.2</w:t>
      </w:r>
    </w:p>
    <w:p>
      <w:r>
        <w:t>L'art. 191 CP (Code pénal suisse du 21 décembre 1937 ; RS 311.0) punit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w:t>
      </w:r>
    </w:p>
    <w:p>
      <w:r>
        <w:t>- 17 -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JdT 2009 IV 17 et les références citées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ATF 119 IV 230 consid. 3a ; TF 6B_238/2019 du 16 avril 2019 consid. 2.1 ; TF 6B_578/2018 du 20 mars 2019 consid. 2.1 ; TF 6B_60/2015 du 25 janvier 2016 consid. 1.1.3). Une incapacité de résistance peut être retenue lorsqu'une personne, sous l'effet de l'alcool et de fatigue ne peut pas ou que faiblement, s'opposer aux actes entrepris (cf. TF 6B_238/2019 du 16 avril 2019 consid. 2.1 ; TF 6B_578/2018 du 20 mars 2019 consid. 2.1 ; TF 6B_232/2016 du 21 décembre 2016 consid. 2.2 ; TF 6B_128/2012 du 21 juin 2012 consid. 1.4).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(arrêt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(Philipp Maier, Basler Kommentar, Strafgesetzbuch, 3ème éd. 2013, n° 5 ad art. 191 CP). Selon le Message, l'incapacité de discernement de l'art. 191 CP exclut tout consentement valable à l'acte d'ordre sexuel et toute responsabilité à cet égard (Message du 25 juin 1985 concernant la modification du code pénal et du</w:t>
      </w:r>
    </w:p>
    <w:p>
      <w:r>
        <w:t>- 18 - code pénal militaire relative aux infractions contre la vie, l'intégrité corporelle, les mœurs et la famille, FF 1985 II 1021 ss, p. 1093 ; voir également l'arrêt 6S.359/2002 du 7 août 2013 consid. 4.2 et les références citées, qui retient : " So ist der Tatbestand der Schändung namentlich nicht erfüllt, wenn der Partner vorgängig in den Sexualkontakt eingewilligt hat. Das vor dem Eintritt der Widerstands- oder Urteilsunfähigkeit erklärte Einverständnis schliesst den Tatbestand aus").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(TF 6B_1362/2019 du 11 mars 2020 consid. 3.1).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6B_578/2018 du 20 mars 2019 consid. 2.1 ; TF 6B_10/2014 du 1er mai 2014 consid. 4.1.1 ; TF 6B_128/2012 du 21 juin 2012 consid. 1.2.2).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(TF 6B_578/2018 précité ; TF 6B_128/2012 du 21 juin 2012 consid. 1.6.1). Agit donc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w:t>
      </w:r>
    </w:p>
    <w:p>
      <w:r>
        <w:t>- 19 - consid. 1.1 ; TF 6B_128/2012 précité). Il n'y a pas d'infraction si l'auteur est convaincu, à tort, que la personne est capable de discernement ou de résistance au moment de l'acte (TF 6B_578/2018 précité ; TF 6B_996/2017 précité ; TF 6B_60/2015 du 25 janvier 2016 consid. 1.2.1).</w:t>
      </w:r>
    </w:p>
    <w:p>
      <w:r>
        <w:rPr>
          <w:b/>
        </w:rPr>
        <w:t>E. 3.3</w:t>
      </w:r>
    </w:p>
    <w:p>
      <w:r>
        <w:t>En l’espèce, il est constant que la victime présentait un état d’alcoolisation sévère au moment des faits. Son alcoolémie, s’élevant à 2,2 g ‰ lors de son arrivée au CHUV et au minimum à 1,36 g/kg après les faits à 23h20, en est une première indication. A cela s’ajoute ses propres déclarations selon lesquelles elle avait bu, dans l’après-midi, deux bouteilles de vin rouge avec un ami dans une pizzeria, avant de prendre quelques verres d’alcool fort dans un bar en début de soirée. Son état est encore établi par le témoignage de son colocataire, [...], (PV aud. 1 R. 5), mais surtout par les déclarations de l’appelant lui-même et de son comparse K.________. Ces dernières sont résumées en pages 21 et 22 du jugement entrepris auquel il est renvoyé. On se souviendra en particulier des propos tenus par l’appelant, rapportés par K.________, qualifiant la victime de « cadavre ». Lors de l’audience d’appel, l’appelant a encore confirmé que la victime ne tenait pas debout parce qu’elle avait trop bu d’alcool et que, si elle avait la notion de l’espace, sa conscience était très diminuée. L’ensemble des éléments du dossier établissent ainsi indiscutablement l’absence de capacité de résistance de la victime. Il n’est par ailleurs pas contesté que l’appelant et K.________ ont, alors que la victime se trouvait dans cet état d’incapacité, entretenu tour à tour trois rapports sexuels avec elle, profitant ainsi de son impuissance, ce quoi qu’en dise l’appelant. A cet égard, il est révélateur de lire dans le rapport d’expertise du 28 juin 2017 que l’intéressé a reconnu que son comparse avait « profité de la situation » (p. 8 du rapport d’expertise). Or, ce qu’il a pu percevoir du comportement de son comparse s’applique tout autant à ses propres agissements, par identité de motifs. L’appelant fait valoir qu’en raison de son inexpérience en matière sexuelle, limitée à quelques relations tarifées, et de son atteinte</w:t>
      </w:r>
    </w:p>
    <w:p>
      <w:r>
        <w:t>- 20 - psychique, il n’était pas en mesure de se rendre compte de l’absence de consentement valable. Cette argumentation est vaine. L’état d’alcoolisation sévère de la victime était patent, ce que l’appelant avait constaté dès l’arrivée de cette dernière dans l’appartement. Elle titubait, sentait l’alcool et ne pouvait marcher sans soutien, ce qui a conduit l’appelant à la qualifier de « cadavre ». L’usage de ce terme est révélateur tout à la fois de l’état de la victime et de la conscience qu’en avait l’appelant, en dépit des troubles dont il se prévaut. Dans ces circonstances, il ne pouvait légitimement considérer que la victime était capable de comprendre la portée des relations sexuelles et de se déterminer valablement à leur égard, étant rappelé que selon les experts, l’appelant était à même d’apprécier le caractère illicite de son comportement. Certes, son atteinte pouvait affecter sa capacité à se déterminer par rapport à cette appréciation. Il n’en demeure pas moins que, dans le cas particulier, il a, d’une part, reconnu que la victime était ivre et, d’autre part, a compris que cet état pouvait altérer sa conscience et sa volonté, preuve en est son observation par rapport à K.________ qui avait « profité de la situation ». Pour le surplus, il est également vain de se prévaloir de l’invitation que lui aurait faite la victime, en le désignant d’un geste de la main. En effet, si ce geste devait avoir existé, l’appelant ne pouvait en aucun cas le tenir pour un consentement valable eu égard à l’incapacité de résistance de la victime reconnaissable aux yeux de l’appelant (cf. TF 6B_1362/2019 du 11 mars 2020 consid. 3.1). Il s'ensuit que les éléments constitutifs objectifs et subjectifs de l'infraction réprimée à l'art. 191 CP sont indiscutablement réunis.</w:t>
      </w:r>
    </w:p>
    <w:p>
      <w:r>
        <w:rPr>
          <w:b/>
        </w:rPr>
        <w:t>E. 4.1</w:t>
      </w:r>
    </w:p>
    <w:p>
      <w:r>
        <w:t>Les premiers juges ont appliqué l’aggravante définie à l’art. 200 CP du fait que l’appelant a agi de concert avec K.________. L’appelant – qui plaide principalement son acquittement du chef de l’art. 191 CP – ne conteste pas en tant que telle l’application de cette disposition.</w:t>
      </w:r>
    </w:p>
    <w:p>
      <w:r>
        <w:t>- 21 -</w:t>
      </w:r>
    </w:p>
    <w:p>
      <w:r>
        <w:rPr>
          <w:b/>
        </w:rPr>
        <w:t>E. 4.2</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L'aggravation de peine est motivée par l'idée que l'action en commun renforce psychiquement et physiquement les auteurs et rend plus difficile un retour en arrière réciproque ou un renoncement, ce qui les rend particulièrement dangereux (ATF 125 IV 199 consid. 2b ; TF 6B_502/2017 du 16 avril 2018 consid. 1.1.3). L'application de cette disposition n'exige pas que tous les auteurs se trouvent au même moment en présence directe de la victime (Queloz/Illànez, in Commentaire romand, Code pénal II, 2017, n° 11 ad art. 200 CP).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TF 6B_1362/2019 du 11 mars 2020 consid. 5.2.1 ; 6B_502/2017 du 16 avril 2018 consid. 1.1.3). 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l’article 200 CP permet également de réprimer les cas où la rencontre des auteurs est spontanée ou improvisée, se matérialise en un instant et n’est pas forcément destinée à être réitérée (TF 6B_1362/2019 du 11 mars 2020 consid. 5.2.1 ; Dupuis et al., Petit commentaire du Code pénal, 2e éd. 2017, n. 8 ad art. 200 CP et les références citées).</w:t>
      </w:r>
    </w:p>
    <w:p>
      <w:r>
        <w:t>- 22 -</w:t>
      </w:r>
    </w:p>
    <w:p>
      <w:r>
        <w:rPr>
          <w:b/>
        </w:rPr>
        <w:t>E. 4.3</w:t>
      </w:r>
    </w:p>
    <w:p>
      <w:r>
        <w:t>En l’espèce, K.________ a conduit la victime à l’appartement de l’appelant dans le but d’entretenir une relation sexuelle avec elle, puis de « l’offrir » à l’appelant qui n’avait pas fréquemment de relations intimes. Sur place, il n’est pas contesté que les comparses ont tour à tour entretenu des rapports sexuels avec la victime, K.________ filmant notamment la scène impliquant l’appelant. Les intéressés ont ainsi agi de concert, leur association s’étant spontanément formée au moment où la victime est arrivée dans l’appartement. L’appelant s’est alors associé aux agissements de son comparse en demeurant à ses côtés durant ses agissements et en y participant activement à son tour par la suite. L’infraction commise à l’encontre de l’intégrité sexuelle de S.________ réalise ainsi l'aggravante de l'art. 200 CP.</w:t>
      </w:r>
    </w:p>
    <w:p>
      <w:r>
        <w:rPr>
          <w:b/>
        </w:rPr>
        <w:t>E. 5.1</w:t>
      </w:r>
    </w:p>
    <w:p>
      <w:r>
        <w:t>L’appelant critique la quotité de la peine, dont la motivation n’est pas conforme aux réquisits de l’art. 50 CP. Il fait en outre valoir que, dans le cadre de la fixation de la peine, il y a lieu de tenir compte de son rôle secondaire par rapport à celui de K.________, de l’influence et des incitations de celui-ci, de son comportement postérieurement à l’infraction, de ses regrets et de sa situation personnelle.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 ATF 136 IV 55 consid. 5 ; ATF 134 IV 17 consid. 2.1 ; ATF 129 IV 6 consid. 6.1).</w:t>
      </w:r>
    </w:p>
    <w:p>
      <w:r>
        <w:rPr>
          <w:b/>
        </w:rPr>
        <w:t>E. 5.2.2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JdT 2017 IV 129 ; ATF 137 IV 57 consid. 4.3.1).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217, JdT 2018 IV 335 ; ATF 142 IV 265 consid. 2.3.2 ; ATF 138 IV 120 consid. 5.2, JdT 2013 IV 43). Que les dispositions pénales applicables prévoient abstraitement des peines de même genre ne suffit pas (ATF 144 IV 217 consid. 2.2 ; ATF 138 IV 120 consid. 5.2 ; TF 6B_1394/2017 du 2 août 2018 consid. 8.3.1). Si les sanctions envisagées concrètement ne sont pas du même genre, elles doivent être prononcées cumulativement (ATF 142 IV 265 consid. 2.3.2 ; ATF 138 IV 120 consid. 5.2 ; ATF 137 IV 57 consid. 4.3). La peine privative de liberté et la peine pécuniaire ne sont pas des sanctions du même genre (ATF 144 IV 217 consid. 2.2 ; ATF 137 IV</w:t>
      </w:r>
    </w:p>
    <w:p>
      <w:r>
        <w:t>- 24 - 57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La jurisprudence récente n'admet plus d'exceptions à cette méthode concrète (ATF 144 IV 313 ; ATF 144 IV 217 consid. 3.5.4).</w:t>
      </w:r>
    </w:p>
    <w:p>
      <w:r>
        <w:rPr>
          <w:b/>
        </w:rPr>
        <w:t>E. 5.2.3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6B_1036 du 24 août 2017 consid. 1.3). En cas de diminution de la responsabilité,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w:t>
      </w:r>
    </w:p>
    <w:p>
      <w:r>
        <w:t>- 25 - échéant, modifiée en raison de facteurs liés à l'auteur (Täterkomponente) ainsi qu'en raison d'une éventuelle tentative selon l'art. 22 al. 1 CP (ATF 136 IV 55 consid. 5.7 ; TF 6B_1036 du 24 août 2017 consid. 1.3).</w:t>
      </w:r>
    </w:p>
    <w:p>
      <w:r>
        <w:rPr>
          <w:b/>
        </w:rPr>
        <w:t>E. 5.3</w:t>
      </w:r>
    </w:p>
    <w:p>
      <w:r>
        <w:t>L’appelant doit être sanctionné pour un acte d’ordre sexuel commis sur une personne incapable de discernement ou de résistance commis en commun, infraction passible d’une peine privative de liberté de dix ans au plus ou d’une peine pécuniaire, pour blanchiment d’argent, infraction passible d’une peine privative de liberté de trois ans au plus ou d’une peine pécuniaire, ainsi que pour une infraction grave et une contravention à la loi fédérale sur les stupéfiants, infractions passibles d’une peine privative de liberté d’un an au moins, respectivement d’une amende. A l’instar du Tribunal correctionnel, il y a lieu de retenir que la culpabilité de l’appelant est très lourde. L’appelant a en effet commis de nombreuses infractions et mis en péril de multiples biens juridiques. S’agissant des infractions contre l’intégrité sexuelle, il a fait passer ses intérêts avant toute autre considération, cherchant la satisfaction de ses pulsions les plus primaires sans tenir compte des autres, même s’il s’agissait d’une femme vulnérable de par son état d’alcoolisation sévère. Certes, il n’est pas à l’origine de sa venue dans son appartement, mais cette circonstance ne saurait peser le poids voulu par l’appelant. Lui qui savait que sa victime était incapable de résistance au sens de l’art. 191 CP, il n’a pas hésité à s’associer aux agissements de son comparse et à lui-même profiter de son état. Leur association constitue un facteur aggravant en application de l’art. 200 CP. En fait d’aveux, l’appelant minimise surtout ses actes, ce qui démontre une absence de conscience de leur gravité et dénote de son absence de remords. Le prévenu ne se remet guère en question, persistant à se dissimuler derrière son atteinte psychique. Or, cette dernière ne conduit qu’à une diminution légère de sa responsabilité, seul élément à décharge, pour l’ensemble des infractions dont il s’est rendu coupable, faisant passer sa faute de très lourde à lourde. Contrairement à l’appelant, on ne distingue guère d’autres éléments dont il y aurait lieu de tenir compte à décharge, la vulnérabilité</w:t>
      </w:r>
    </w:p>
    <w:p>
      <w:r>
        <w:t>- 26 - qu’il présente face à la peine ne permettant que des corrections marginales. L’infraction la plus grave est celle d’actes d’ordre sexuel commis en commun sur une personne incapable de discernement ou de résistance. Au vu des constats qui précèdent, elle mérite d’être sanctionnée par une peine privative de liberté de 3 ans. Par l’effet du concours, elle devra être augmentée d’une année pour l’infraction grave à la loi fédérale sur les stupéfiants et de trois mois pour le blanchiment d’argent. La peine de quatre ans prononcée par le Tribunal correctionnel ne sera toutefois pas augmentée en application de l’interdiction de la reformatio in pejus. Au vu de la peine prononcée, les conditions objectives du sursis, même partiel, ne sont pas réalisées. Pour le surplus, l’amende de 300 fr. sanctionnant la contravention à la loi fédérale sur les stupéfiants n’est pas contestée et apparaît adéquate.</w:t>
      </w:r>
    </w:p>
    <w:p>
      <w:r>
        <w:rPr>
          <w:b/>
        </w:rPr>
        <w:t>E. 6</w:t>
      </w:r>
    </w:p>
    <w:p>
      <w:r>
        <w:t>Les premiers juges ont en outre ordonné, en parallèle à l’exécution de la peine privative de liberté, la mise en œuvre d’un traitement ambulatoire, auquel le prévenu ne s’est pas opposé. Examinée d’office, cette mesure apparaît conforme aux exigences de l’art. 63 CP, étant rappelé la dépendance au cannabis dont souffre le prévenu.</w:t>
      </w:r>
    </w:p>
    <w:p>
      <w:r>
        <w:rPr>
          <w:b/>
        </w:rPr>
        <w:t>E. 7</w:t>
      </w:r>
    </w:p>
    <w:p>
      <w:r>
        <w:t>La condamnation étant confirmée, il n’y a pas lieu de modifier le sort des frais de la procédure de première instance, que le Tribunal correctionnel était fondé à mettre à la charge de l'appelant en application de l’art. 426 al. 1, 1re phrase, CPP.</w:t>
      </w:r>
    </w:p>
    <w:p>
      <w:r>
        <w:rPr>
          <w:b/>
        </w:rPr>
        <w:t>E. 8</w:t>
      </w:r>
    </w:p>
    <w:p>
      <w:r>
        <w:t>En définitive, l’appel doit être rejeté et le jugement du 25 mars 2021 confirmé.</w:t>
      </w:r>
    </w:p>
    <w:p>
      <w:r>
        <w:t>- 27 - Vu l’issue de la cause, les frais d’appel, constitués en l’espèce de l’émolument d’arrêt, par 2’200 fr. (art. 21 al. 1 TFIP [Tarif des frais de procédure et indemnités en matière pénale du 28 septembre 2010 ; BLV 312.03.1]), seront mis à la charge de l’appelant, qui succombe (art. 428 al. 1 CPP). Me Etienne Campiche, défenseur d’office d’O_______, a produit une liste d’opérations qui fait état de 23h30 d’activité (cf. P. 143), en particulier d’un total de 13h55 consacrées à la rédaction de la déclaration d‘appel et de 6h15 à la préparation de l’audience d’appel. Ces durées apparaissent excessives au regard de la complexité de la cause et du fait que le dossier était déjà parfaitement connu du défenseur. Le temps consacré à la rédaction de la déclaration d’appel sera ainsi ramené à 8h et celui à la préparation de l’audience à 4h. En définitive, une durée à indemniser de 16h20 sera retenu, durée qui comprend le temps d’audience d’une heure. Au tarif horaire d'avocat de 180 fr., l'indemnité pour la procédure d'appel s'élève ainsi à 2’940, auxquels s’ajoutent une vacation à 120 fr., des débours forfaitaires de 2 % par 58 fr. 80 et la TVA au taux de 7,7 % sur le tout, par 240 fr. 15, soit un total de 3'358 fr. 95. Le remboursement à l'Etat de l’indemnité d'office ne sera exigible que pour autant que la situation économique de l’appelant le permette (art. 135 al. 4 CPP).</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